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E7975D">
      <w:pPr>
        <w:autoSpaceDE w:val="0"/>
        <w:spacing w:line="920" w:lineRule="exact"/>
        <w:textAlignment w:val="center"/>
        <w:rPr>
          <w:rFonts w:hint="eastAsia" w:ascii="方正小标宋_GBK" w:hAnsi="方正小标宋_GBK"/>
          <w:color w:val="000000"/>
          <w:sz w:val="44"/>
          <w:szCs w:val="44"/>
        </w:rPr>
      </w:pPr>
      <w:bookmarkStart w:id="0" w:name="_GoBack"/>
      <w:bookmarkEnd w:id="0"/>
    </w:p>
    <w:p w14:paraId="38FB7649">
      <w:pPr>
        <w:autoSpaceDE w:val="0"/>
        <w:adjustRightInd w:val="0"/>
        <w:snapToGrid w:val="0"/>
        <w:spacing w:line="640" w:lineRule="exact"/>
        <w:jc w:val="center"/>
        <w:rPr>
          <w:rFonts w:ascii="方正小标宋简体" w:hAnsi="方正小标宋简体"/>
          <w:bCs/>
          <w:color w:val="000000"/>
          <w:sz w:val="44"/>
          <w:szCs w:val="44"/>
        </w:rPr>
      </w:pPr>
      <w:r>
        <w:rPr>
          <w:rFonts w:hint="eastAsia" w:ascii="宋体" w:hAnsi="宋体" w:eastAsia="宋体"/>
          <w:b/>
          <w:color w:val="000000"/>
          <w:sz w:val="44"/>
          <w:szCs w:val="44"/>
        </w:rPr>
        <w:t>安康市红色文化遗存保护</w:t>
      </w:r>
      <w:r>
        <w:rPr>
          <w:rFonts w:hint="eastAsia" w:ascii="宋体" w:hAnsi="宋体" w:eastAsia="宋体"/>
          <w:b/>
          <w:color w:val="000000"/>
          <w:sz w:val="44"/>
          <w:szCs w:val="44"/>
          <w:lang w:val="en-US" w:eastAsia="zh-CN"/>
        </w:rPr>
        <w:t>传承</w:t>
      </w:r>
      <w:r>
        <w:rPr>
          <w:rFonts w:hint="eastAsia" w:ascii="宋体" w:hAnsi="宋体" w:eastAsia="宋体"/>
          <w:b/>
          <w:color w:val="000000"/>
          <w:sz w:val="44"/>
          <w:szCs w:val="44"/>
        </w:rPr>
        <w:t>利用条例</w:t>
      </w:r>
    </w:p>
    <w:p w14:paraId="435ADDE5">
      <w:pPr>
        <w:autoSpaceDE w:val="0"/>
        <w:adjustRightInd w:val="0"/>
        <w:snapToGrid w:val="0"/>
        <w:spacing w:before="156" w:beforeLines="50" w:line="560" w:lineRule="exact"/>
        <w:jc w:val="center"/>
        <w:textAlignment w:val="center"/>
        <w:rPr>
          <w:rFonts w:ascii="黑体" w:hAnsi="黑体" w:eastAsia="黑体"/>
          <w:bCs/>
          <w:color w:val="000000"/>
        </w:rPr>
      </w:pPr>
      <w:r>
        <w:rPr>
          <w:rFonts w:ascii="楷体_GB2312" w:hAnsi="楷体_GB2312"/>
          <w:color w:val="000000"/>
        </w:rPr>
        <w:t>（</w:t>
      </w:r>
      <w:r>
        <w:rPr>
          <w:rFonts w:hint="eastAsia" w:ascii="楷体_GB2312" w:hAnsi="楷体_GB2312"/>
          <w:color w:val="000000"/>
          <w:lang w:val="en-US" w:eastAsia="zh-CN"/>
        </w:rPr>
        <w:t>草案送审</w:t>
      </w:r>
      <w:r>
        <w:rPr>
          <w:rFonts w:hint="eastAsia" w:ascii="楷体_GB2312" w:hAnsi="楷体_GB2312"/>
          <w:color w:val="000000"/>
        </w:rPr>
        <w:t>稿</w:t>
      </w:r>
      <w:r>
        <w:rPr>
          <w:rFonts w:ascii="楷体_GB2312" w:hAnsi="楷体_GB2312"/>
          <w:color w:val="000000"/>
        </w:rPr>
        <w:t>）</w:t>
      </w:r>
    </w:p>
    <w:p w14:paraId="3BB31BF4">
      <w:pPr>
        <w:autoSpaceDE w:val="0"/>
        <w:adjustRightInd w:val="0"/>
        <w:snapToGrid w:val="0"/>
        <w:spacing w:before="312" w:beforeLines="100" w:line="560" w:lineRule="exact"/>
        <w:jc w:val="center"/>
        <w:rPr>
          <w:rFonts w:hint="eastAsia"/>
        </w:rPr>
      </w:pPr>
      <w:r>
        <w:rPr>
          <w:rFonts w:ascii="楷体_GB2312" w:hAnsi="楷体_GB2312"/>
          <w:color w:val="000000"/>
        </w:rPr>
        <w:t>目    录</w:t>
      </w:r>
    </w:p>
    <w:p w14:paraId="3BF04614">
      <w:pPr>
        <w:autoSpaceDE w:val="0"/>
        <w:adjustRightInd w:val="0"/>
        <w:snapToGrid w:val="0"/>
        <w:spacing w:line="560" w:lineRule="exact"/>
        <w:ind w:firstLine="640" w:firstLineChars="200"/>
        <w:rPr>
          <w:rFonts w:hint="eastAsia" w:ascii="楷体" w:hAnsi="楷体" w:eastAsia="楷体" w:cs="楷体"/>
          <w:color w:val="000000"/>
        </w:rPr>
      </w:pPr>
      <w:r>
        <w:rPr>
          <w:rFonts w:hint="eastAsia" w:ascii="楷体" w:hAnsi="楷体" w:eastAsia="楷体" w:cs="楷体"/>
          <w:color w:val="000000"/>
        </w:rPr>
        <w:t>第一章  总则</w:t>
      </w:r>
    </w:p>
    <w:p w14:paraId="19518E74">
      <w:pPr>
        <w:autoSpaceDE w:val="0"/>
        <w:adjustRightInd w:val="0"/>
        <w:snapToGrid w:val="0"/>
        <w:spacing w:line="560" w:lineRule="exact"/>
        <w:ind w:firstLine="640" w:firstLineChars="200"/>
        <w:rPr>
          <w:rFonts w:hint="eastAsia" w:ascii="楷体" w:hAnsi="楷体" w:eastAsia="楷体" w:cs="楷体"/>
          <w:color w:val="000000"/>
        </w:rPr>
      </w:pPr>
      <w:r>
        <w:rPr>
          <w:rFonts w:hint="eastAsia" w:ascii="楷体" w:hAnsi="楷体" w:eastAsia="楷体" w:cs="楷体"/>
          <w:color w:val="000000"/>
        </w:rPr>
        <w:t>第二章  保护管理</w:t>
      </w:r>
    </w:p>
    <w:p w14:paraId="502EFD12">
      <w:pPr>
        <w:autoSpaceDE w:val="0"/>
        <w:adjustRightInd w:val="0"/>
        <w:snapToGrid w:val="0"/>
        <w:spacing w:line="560" w:lineRule="exact"/>
        <w:ind w:firstLine="640" w:firstLineChars="200"/>
        <w:rPr>
          <w:rFonts w:hint="eastAsia" w:ascii="楷体" w:hAnsi="楷体" w:eastAsia="楷体" w:cs="楷体"/>
          <w:color w:val="000000"/>
        </w:rPr>
      </w:pPr>
      <w:r>
        <w:rPr>
          <w:rFonts w:hint="eastAsia" w:ascii="楷体" w:hAnsi="楷体" w:eastAsia="楷体" w:cs="楷体"/>
          <w:color w:val="000000"/>
        </w:rPr>
        <w:t>第三章  传承利用</w:t>
      </w:r>
    </w:p>
    <w:p w14:paraId="2F86B0AA">
      <w:pPr>
        <w:autoSpaceDE w:val="0"/>
        <w:adjustRightInd w:val="0"/>
        <w:snapToGrid w:val="0"/>
        <w:spacing w:line="560" w:lineRule="exact"/>
        <w:ind w:firstLine="640" w:firstLineChars="200"/>
        <w:rPr>
          <w:rFonts w:hint="eastAsia" w:ascii="楷体" w:hAnsi="楷体" w:eastAsia="楷体" w:cs="楷体"/>
          <w:color w:val="000000"/>
        </w:rPr>
      </w:pPr>
      <w:r>
        <w:rPr>
          <w:rFonts w:hint="eastAsia" w:ascii="楷体" w:hAnsi="楷体" w:eastAsia="楷体" w:cs="楷体"/>
          <w:color w:val="000000"/>
        </w:rPr>
        <w:t>第四章  法律责任</w:t>
      </w:r>
    </w:p>
    <w:p w14:paraId="63D6F6E9">
      <w:pPr>
        <w:autoSpaceDE w:val="0"/>
        <w:adjustRightInd w:val="0"/>
        <w:snapToGrid w:val="0"/>
        <w:spacing w:line="560" w:lineRule="exact"/>
        <w:ind w:firstLine="640" w:firstLineChars="200"/>
        <w:rPr>
          <w:rFonts w:hint="eastAsia" w:ascii="楷体" w:hAnsi="楷体" w:eastAsia="楷体" w:cs="楷体"/>
          <w:color w:val="000000"/>
        </w:rPr>
      </w:pPr>
      <w:r>
        <w:rPr>
          <w:rFonts w:hint="eastAsia" w:ascii="楷体" w:hAnsi="楷体" w:eastAsia="楷体" w:cs="楷体"/>
          <w:color w:val="000000"/>
        </w:rPr>
        <w:t>第五章  附则</w:t>
      </w:r>
    </w:p>
    <w:p w14:paraId="3DC0B50D">
      <w:pPr>
        <w:autoSpaceDE w:val="0"/>
        <w:adjustRightInd w:val="0"/>
        <w:snapToGrid w:val="0"/>
        <w:spacing w:line="560" w:lineRule="exact"/>
        <w:ind w:firstLine="620" w:firstLineChars="200"/>
        <w:rPr>
          <w:rFonts w:hint="eastAsia" w:ascii="Calibri" w:hAnsi="Calibri" w:eastAsia="宋体"/>
          <w:sz w:val="31"/>
          <w:szCs w:val="31"/>
        </w:rPr>
      </w:pPr>
      <w:r>
        <w:rPr>
          <w:rFonts w:ascii="Calibri" w:hAnsi="Calibri" w:eastAsia="宋体"/>
          <w:sz w:val="31"/>
          <w:szCs w:val="31"/>
        </w:rPr>
        <w:t xml:space="preserve"> </w:t>
      </w:r>
    </w:p>
    <w:p w14:paraId="76491AEB">
      <w:pPr>
        <w:autoSpaceDE w:val="0"/>
        <w:adjustRightInd w:val="0"/>
        <w:snapToGrid w:val="0"/>
        <w:spacing w:before="156" w:beforeLines="50" w:after="156" w:afterLines="50" w:line="560" w:lineRule="exact"/>
        <w:jc w:val="center"/>
        <w:rPr>
          <w:rFonts w:ascii="黑体" w:hAnsi="Calibri" w:eastAsia="黑体"/>
          <w:bCs/>
          <w:color w:val="000000"/>
        </w:rPr>
      </w:pPr>
      <w:r>
        <w:rPr>
          <w:rFonts w:hint="eastAsia" w:ascii="黑体" w:hAnsi="黑体" w:eastAsia="黑体"/>
          <w:color w:val="000000"/>
        </w:rPr>
        <w:t>第一章  总</w:t>
      </w:r>
      <w:r>
        <w:rPr>
          <w:rFonts w:hint="eastAsia" w:ascii="黑体" w:hAnsi="黑体" w:eastAsia="黑体"/>
          <w:color w:val="000000"/>
          <w:lang w:val="en-US" w:eastAsia="zh-CN"/>
        </w:rPr>
        <w:t xml:space="preserve">  </w:t>
      </w:r>
      <w:r>
        <w:rPr>
          <w:rFonts w:hint="eastAsia" w:ascii="黑体" w:hAnsi="黑体" w:eastAsia="黑体"/>
          <w:color w:val="000000"/>
        </w:rPr>
        <w:t>则</w:t>
      </w:r>
    </w:p>
    <w:p w14:paraId="088AE571">
      <w:pPr>
        <w:autoSpaceDE w:val="0"/>
        <w:adjustRightInd w:val="0"/>
        <w:snapToGrid w:val="0"/>
        <w:spacing w:line="560" w:lineRule="exact"/>
        <w:ind w:firstLine="640" w:firstLineChars="200"/>
        <w:rPr>
          <w:rFonts w:hint="eastAsia" w:ascii="黑体" w:hAnsi="黑体" w:eastAsia="黑体"/>
          <w:bCs/>
          <w:color w:val="000000"/>
          <w:lang w:eastAsia="zh-CN"/>
        </w:rPr>
      </w:pPr>
      <w:r>
        <w:rPr>
          <w:rFonts w:hint="eastAsia" w:ascii="黑体" w:hAnsi="黑体" w:eastAsia="黑体"/>
          <w:bCs/>
          <w:color w:val="000000"/>
        </w:rPr>
        <w:t>第一条</w:t>
      </w:r>
      <w:r>
        <w:rPr>
          <w:rFonts w:hint="eastAsia" w:ascii="黑体" w:hAnsi="黑体" w:eastAsia="黑体"/>
          <w:bCs/>
          <w:color w:val="000000"/>
          <w:lang w:eastAsia="zh-CN"/>
        </w:rPr>
        <w:t>【</w:t>
      </w:r>
      <w:r>
        <w:rPr>
          <w:rFonts w:hint="eastAsia" w:ascii="黑体" w:hAnsi="黑体" w:eastAsia="黑体"/>
          <w:bCs/>
          <w:color w:val="000000"/>
          <w:lang w:val="en-US" w:eastAsia="zh-CN"/>
        </w:rPr>
        <w:t>立法目的与依据</w:t>
      </w:r>
      <w:r>
        <w:rPr>
          <w:rFonts w:hint="eastAsia" w:ascii="黑体" w:hAnsi="黑体" w:eastAsia="黑体"/>
          <w:bCs/>
          <w:color w:val="000000"/>
          <w:lang w:eastAsia="zh-CN"/>
        </w:rPr>
        <w:t>】</w:t>
      </w:r>
      <w:r>
        <w:rPr>
          <w:rFonts w:hint="eastAsia" w:ascii="仿宋" w:hAnsi="仿宋" w:eastAsia="仿宋" w:cs="仿宋"/>
          <w:bCs/>
          <w:color w:val="000000"/>
          <w:lang w:eastAsia="zh-CN"/>
        </w:rPr>
        <w:t>为了加强红色文化遗存的保护</w:t>
      </w:r>
      <w:r>
        <w:rPr>
          <w:rFonts w:hint="eastAsia" w:ascii="仿宋" w:hAnsi="仿宋" w:cs="仿宋"/>
          <w:bCs/>
          <w:color w:val="000000"/>
          <w:lang w:eastAsia="zh-CN"/>
        </w:rPr>
        <w:t>、</w:t>
      </w:r>
      <w:r>
        <w:rPr>
          <w:rFonts w:hint="eastAsia" w:ascii="仿宋" w:hAnsi="仿宋" w:cs="仿宋"/>
          <w:bCs/>
          <w:color w:val="000000"/>
          <w:lang w:val="en-US" w:eastAsia="zh-CN"/>
        </w:rPr>
        <w:t>管理、传承</w:t>
      </w:r>
      <w:r>
        <w:rPr>
          <w:rFonts w:hint="eastAsia" w:ascii="仿宋" w:hAnsi="仿宋" w:eastAsia="仿宋" w:cs="仿宋"/>
          <w:bCs/>
          <w:color w:val="000000"/>
          <w:lang w:eastAsia="zh-CN"/>
        </w:rPr>
        <w:t>和利用，传承红色基因，赓续红色血脉，弘扬红色文化，进行爱国主义和革命传统教育，培育和践行社会主义核心价值观，根据《中华人民共和国文物保护法》</w:t>
      </w:r>
      <w:r>
        <w:rPr>
          <w:rFonts w:hint="eastAsia" w:ascii="仿宋" w:hAnsi="仿宋" w:cs="仿宋"/>
          <w:bCs/>
          <w:color w:val="000000"/>
          <w:lang w:eastAsia="zh-CN"/>
        </w:rPr>
        <w:t>《</w:t>
      </w:r>
      <w:r>
        <w:rPr>
          <w:rFonts w:hint="eastAsia" w:ascii="仿宋" w:hAnsi="仿宋" w:cs="仿宋"/>
          <w:bCs/>
          <w:color w:val="000000"/>
          <w:lang w:val="en-US" w:eastAsia="zh-CN"/>
        </w:rPr>
        <w:t>陕西省革命文物保护利用条例</w:t>
      </w:r>
      <w:r>
        <w:rPr>
          <w:rFonts w:hint="eastAsia" w:ascii="仿宋" w:hAnsi="仿宋" w:cs="仿宋"/>
          <w:bCs/>
          <w:color w:val="000000"/>
          <w:lang w:eastAsia="zh-CN"/>
        </w:rPr>
        <w:t>》</w:t>
      </w:r>
      <w:r>
        <w:rPr>
          <w:rFonts w:hint="eastAsia" w:ascii="仿宋" w:hAnsi="仿宋" w:cs="仿宋"/>
          <w:bCs/>
          <w:color w:val="000000"/>
          <w:lang w:val="en-US" w:eastAsia="zh-CN"/>
        </w:rPr>
        <w:t>等</w:t>
      </w:r>
      <w:r>
        <w:rPr>
          <w:rFonts w:hint="eastAsia" w:ascii="仿宋" w:hAnsi="仿宋" w:eastAsia="仿宋" w:cs="仿宋"/>
          <w:bCs/>
          <w:color w:val="000000"/>
          <w:lang w:eastAsia="zh-CN"/>
        </w:rPr>
        <w:t>有关法律法规，结合本</w:t>
      </w:r>
      <w:r>
        <w:rPr>
          <w:rFonts w:hint="eastAsia" w:ascii="仿宋" w:hAnsi="仿宋" w:cs="仿宋"/>
          <w:bCs/>
          <w:color w:val="000000"/>
          <w:lang w:val="en-US" w:eastAsia="zh-CN"/>
        </w:rPr>
        <w:t>市</w:t>
      </w:r>
      <w:r>
        <w:rPr>
          <w:rFonts w:hint="eastAsia" w:ascii="仿宋" w:hAnsi="仿宋" w:eastAsia="仿宋" w:cs="仿宋"/>
          <w:bCs/>
          <w:color w:val="000000"/>
          <w:lang w:eastAsia="zh-CN"/>
        </w:rPr>
        <w:t>实际，制定本条例。</w:t>
      </w:r>
    </w:p>
    <w:p w14:paraId="1DED6468">
      <w:pPr>
        <w:autoSpaceDE w:val="0"/>
        <w:adjustRightInd w:val="0"/>
        <w:snapToGrid w:val="0"/>
        <w:spacing w:line="560" w:lineRule="exact"/>
        <w:ind w:firstLine="640" w:firstLineChars="200"/>
        <w:rPr>
          <w:rFonts w:hint="eastAsia" w:ascii="仿宋" w:hAnsi="仿宋" w:eastAsia="仿宋" w:cs="仿宋"/>
          <w:bCs/>
          <w:color w:val="000000"/>
          <w:lang w:eastAsia="zh-CN"/>
        </w:rPr>
      </w:pPr>
      <w:r>
        <w:rPr>
          <w:rFonts w:hint="eastAsia" w:ascii="黑体" w:hAnsi="黑体" w:eastAsia="黑体"/>
          <w:bCs/>
          <w:color w:val="000000"/>
        </w:rPr>
        <w:t>第二条</w:t>
      </w:r>
      <w:r>
        <w:rPr>
          <w:rFonts w:hint="eastAsia" w:ascii="黑体" w:hAnsi="黑体" w:eastAsia="黑体"/>
          <w:bCs/>
          <w:color w:val="000000"/>
          <w:lang w:eastAsia="zh-CN"/>
        </w:rPr>
        <w:t>【</w:t>
      </w:r>
      <w:r>
        <w:rPr>
          <w:rFonts w:hint="eastAsia" w:ascii="黑体" w:hAnsi="黑体" w:eastAsia="黑体"/>
          <w:bCs/>
          <w:color w:val="000000"/>
          <w:lang w:val="en-US" w:eastAsia="zh-CN"/>
        </w:rPr>
        <w:t>适用范围</w:t>
      </w:r>
      <w:r>
        <w:rPr>
          <w:rFonts w:hint="eastAsia" w:ascii="黑体" w:hAnsi="黑体" w:eastAsia="黑体"/>
          <w:bCs/>
          <w:color w:val="000000"/>
          <w:lang w:eastAsia="zh-CN"/>
        </w:rPr>
        <w:t>】</w:t>
      </w:r>
      <w:r>
        <w:rPr>
          <w:rFonts w:hint="eastAsia" w:ascii="仿宋" w:hAnsi="仿宋" w:eastAsia="仿宋" w:cs="仿宋"/>
          <w:bCs/>
          <w:color w:val="000000"/>
          <w:lang w:eastAsia="zh-CN"/>
        </w:rPr>
        <w:t>本</w:t>
      </w:r>
      <w:r>
        <w:rPr>
          <w:rFonts w:hint="eastAsia" w:ascii="仿宋" w:hAnsi="仿宋" w:cs="仿宋"/>
          <w:bCs/>
          <w:color w:val="000000"/>
          <w:lang w:val="en-US" w:eastAsia="zh-CN"/>
        </w:rPr>
        <w:t>市</w:t>
      </w:r>
      <w:r>
        <w:rPr>
          <w:rFonts w:hint="eastAsia" w:ascii="仿宋" w:hAnsi="仿宋" w:eastAsia="仿宋" w:cs="仿宋"/>
          <w:bCs/>
          <w:color w:val="000000"/>
          <w:lang w:eastAsia="zh-CN"/>
        </w:rPr>
        <w:t>行政区域内红色文化遗存的调查认定、保护管理、传承利用等活动，适用本条例。</w:t>
      </w:r>
    </w:p>
    <w:p w14:paraId="0FDA305C">
      <w:pPr>
        <w:autoSpaceDE w:val="0"/>
        <w:adjustRightInd w:val="0"/>
        <w:snapToGrid w:val="0"/>
        <w:spacing w:line="560" w:lineRule="exact"/>
        <w:ind w:firstLine="640" w:firstLineChars="200"/>
        <w:rPr>
          <w:rFonts w:hint="eastAsia" w:ascii="仿宋" w:hAnsi="仿宋" w:cs="仿宋"/>
          <w:sz w:val="21"/>
          <w:szCs w:val="21"/>
          <w:lang w:eastAsia="zh-CN"/>
        </w:rPr>
      </w:pPr>
      <w:r>
        <w:rPr>
          <w:rFonts w:hint="eastAsia" w:ascii="仿宋" w:hAnsi="仿宋" w:eastAsia="仿宋" w:cs="仿宋"/>
          <w:bCs/>
          <w:color w:val="000000"/>
          <w:lang w:eastAsia="zh-CN"/>
        </w:rPr>
        <w:t>法律、法规对红色文化遗存中涉及的英雄烈士纪念设施</w:t>
      </w:r>
      <w:r>
        <w:rPr>
          <w:rFonts w:hint="eastAsia" w:ascii="仿宋" w:hAnsi="仿宋" w:cs="仿宋"/>
          <w:bCs/>
          <w:color w:val="000000"/>
          <w:lang w:eastAsia="zh-CN"/>
        </w:rPr>
        <w:t>、</w:t>
      </w:r>
      <w:r>
        <w:rPr>
          <w:rFonts w:hint="eastAsia" w:ascii="仿宋" w:hAnsi="仿宋" w:eastAsia="仿宋" w:cs="仿宋"/>
          <w:bCs/>
          <w:color w:val="000000"/>
          <w:lang w:eastAsia="zh-CN"/>
        </w:rPr>
        <w:t>文物、历史文化街区</w:t>
      </w:r>
      <w:r>
        <w:rPr>
          <w:rFonts w:hint="eastAsia" w:ascii="仿宋" w:hAnsi="仿宋" w:cs="仿宋"/>
          <w:bCs/>
          <w:color w:val="000000"/>
          <w:lang w:eastAsia="zh-CN"/>
        </w:rPr>
        <w:t>、</w:t>
      </w:r>
      <w:r>
        <w:rPr>
          <w:rFonts w:hint="eastAsia" w:ascii="仿宋" w:hAnsi="仿宋" w:eastAsia="仿宋" w:cs="仿宋"/>
          <w:bCs/>
          <w:color w:val="000000"/>
          <w:lang w:eastAsia="zh-CN"/>
        </w:rPr>
        <w:t>历史建筑以及档案管理等</w:t>
      </w:r>
      <w:r>
        <w:rPr>
          <w:rFonts w:hint="eastAsia" w:ascii="仿宋" w:hAnsi="仿宋" w:cs="仿宋"/>
          <w:bCs/>
          <w:color w:val="000000"/>
          <w:lang w:val="en-US" w:eastAsia="zh-CN"/>
        </w:rPr>
        <w:t>已</w:t>
      </w:r>
      <w:r>
        <w:rPr>
          <w:rFonts w:hint="eastAsia" w:ascii="仿宋" w:hAnsi="仿宋" w:eastAsia="仿宋" w:cs="仿宋"/>
          <w:bCs/>
          <w:color w:val="000000"/>
          <w:lang w:eastAsia="zh-CN"/>
        </w:rPr>
        <w:t>有规定的，从其规定。</w:t>
      </w:r>
    </w:p>
    <w:p w14:paraId="236E039F">
      <w:pPr>
        <w:autoSpaceDE w:val="0"/>
        <w:adjustRightInd w:val="0"/>
        <w:snapToGrid w:val="0"/>
        <w:spacing w:line="560" w:lineRule="exact"/>
        <w:ind w:firstLine="640" w:firstLineChars="200"/>
        <w:rPr>
          <w:rFonts w:hint="eastAsia" w:ascii="仿宋" w:hAnsi="仿宋" w:eastAsia="仿宋" w:cs="仿宋"/>
          <w:bCs/>
          <w:color w:val="000000"/>
          <w:lang w:eastAsia="zh-CN"/>
        </w:rPr>
      </w:pPr>
      <w:r>
        <w:rPr>
          <w:rFonts w:hint="eastAsia" w:ascii="黑体" w:hAnsi="黑体" w:eastAsia="黑体"/>
          <w:bCs/>
          <w:color w:val="000000"/>
        </w:rPr>
        <w:t>第三条</w:t>
      </w:r>
      <w:r>
        <w:rPr>
          <w:rFonts w:hint="eastAsia" w:ascii="黑体" w:hAnsi="黑体" w:eastAsia="黑体"/>
          <w:bCs/>
          <w:color w:val="000000"/>
          <w:lang w:eastAsia="zh-CN"/>
        </w:rPr>
        <w:t>【红色文化遗存</w:t>
      </w:r>
      <w:r>
        <w:rPr>
          <w:rFonts w:hint="eastAsia" w:ascii="黑体" w:hAnsi="黑体" w:eastAsia="黑体"/>
          <w:bCs/>
          <w:color w:val="000000"/>
          <w:lang w:val="en-US" w:eastAsia="zh-CN"/>
        </w:rPr>
        <w:t>的法律概念</w:t>
      </w:r>
      <w:r>
        <w:rPr>
          <w:rFonts w:hint="eastAsia" w:ascii="黑体" w:hAnsi="黑体" w:eastAsia="黑体"/>
          <w:bCs/>
          <w:color w:val="000000"/>
          <w:lang w:eastAsia="zh-CN"/>
        </w:rPr>
        <w:t>】</w:t>
      </w:r>
      <w:r>
        <w:rPr>
          <w:rFonts w:hint="eastAsia" w:ascii="仿宋" w:hAnsi="仿宋" w:eastAsia="仿宋" w:cs="仿宋"/>
          <w:bCs/>
          <w:color w:val="000000"/>
          <w:lang w:eastAsia="zh-CN"/>
        </w:rPr>
        <w:t>本条例所称的红色文化遗存，是指新民主主义革命时期以来，中国共产党团结带领各族人民进行重要历史活动所遗留的，具有重要纪念意义、教育意义或者史料价值的遗址、遗迹、场所和实物。主要包括：</w:t>
      </w:r>
    </w:p>
    <w:p w14:paraId="0B33AF6E">
      <w:pPr>
        <w:autoSpaceDE w:val="0"/>
        <w:adjustRightInd w:val="0"/>
        <w:snapToGrid w:val="0"/>
        <w:spacing w:line="560" w:lineRule="exact"/>
        <w:ind w:firstLine="640" w:firstLineChars="200"/>
        <w:rPr>
          <w:rFonts w:hint="eastAsia" w:ascii="仿宋" w:hAnsi="仿宋" w:eastAsia="仿宋" w:cs="仿宋"/>
          <w:bCs/>
          <w:color w:val="000000"/>
          <w:lang w:eastAsia="zh-CN"/>
        </w:rPr>
      </w:pPr>
      <w:r>
        <w:rPr>
          <w:rFonts w:hint="eastAsia" w:ascii="仿宋" w:hAnsi="仿宋" w:eastAsia="仿宋" w:cs="仿宋"/>
          <w:bCs/>
          <w:color w:val="000000"/>
          <w:lang w:eastAsia="zh-CN"/>
        </w:rPr>
        <w:t>（一）重要机构、会议、事件、战役</w:t>
      </w:r>
      <w:r>
        <w:rPr>
          <w:rFonts w:hint="eastAsia" w:ascii="仿宋" w:hAnsi="仿宋" w:cs="仿宋"/>
          <w:bCs/>
          <w:color w:val="000000"/>
          <w:lang w:eastAsia="zh-CN"/>
        </w:rPr>
        <w:t>、</w:t>
      </w:r>
      <w:r>
        <w:rPr>
          <w:rFonts w:hint="eastAsia" w:ascii="仿宋" w:hAnsi="仿宋" w:cs="仿宋"/>
          <w:bCs/>
          <w:color w:val="000000"/>
          <w:lang w:val="en-US" w:eastAsia="zh-CN"/>
        </w:rPr>
        <w:t>工程</w:t>
      </w:r>
      <w:r>
        <w:rPr>
          <w:rFonts w:hint="eastAsia" w:ascii="仿宋" w:hAnsi="仿宋" w:eastAsia="仿宋" w:cs="仿宋"/>
          <w:bCs/>
          <w:color w:val="000000"/>
          <w:lang w:eastAsia="zh-CN"/>
        </w:rPr>
        <w:t>的旧址或者遗址；</w:t>
      </w:r>
    </w:p>
    <w:p w14:paraId="00727A1E">
      <w:pPr>
        <w:autoSpaceDE w:val="0"/>
        <w:adjustRightInd w:val="0"/>
        <w:snapToGrid w:val="0"/>
        <w:spacing w:line="560" w:lineRule="exact"/>
        <w:ind w:firstLine="640" w:firstLineChars="200"/>
        <w:rPr>
          <w:rFonts w:hint="eastAsia" w:ascii="仿宋" w:hAnsi="仿宋" w:eastAsia="仿宋" w:cs="仿宋"/>
          <w:bCs/>
          <w:color w:val="000000"/>
          <w:lang w:eastAsia="zh-CN"/>
        </w:rPr>
      </w:pPr>
      <w:r>
        <w:rPr>
          <w:rFonts w:hint="eastAsia" w:ascii="仿宋" w:hAnsi="仿宋" w:eastAsia="仿宋" w:cs="仿宋"/>
          <w:bCs/>
          <w:color w:val="000000"/>
          <w:lang w:eastAsia="zh-CN"/>
        </w:rPr>
        <w:t>（二）重要人物和具有重要影响的英雄烈士的故居、旧居、活动地、墓地和遗物；</w:t>
      </w:r>
    </w:p>
    <w:p w14:paraId="4E996370">
      <w:pPr>
        <w:autoSpaceDE w:val="0"/>
        <w:adjustRightInd w:val="0"/>
        <w:snapToGrid w:val="0"/>
        <w:spacing w:line="560" w:lineRule="exact"/>
        <w:ind w:firstLine="640" w:firstLineChars="200"/>
        <w:rPr>
          <w:rFonts w:hint="eastAsia" w:ascii="仿宋" w:hAnsi="仿宋" w:eastAsia="仿宋" w:cs="仿宋"/>
          <w:bCs/>
          <w:color w:val="000000"/>
          <w:lang w:eastAsia="zh-CN"/>
        </w:rPr>
      </w:pPr>
      <w:r>
        <w:rPr>
          <w:rFonts w:hint="eastAsia" w:ascii="仿宋" w:hAnsi="仿宋" w:eastAsia="仿宋" w:cs="仿宋"/>
          <w:bCs/>
          <w:color w:val="000000"/>
          <w:lang w:eastAsia="zh-CN"/>
        </w:rPr>
        <w:t>（三）烈士陵园、纪念堂馆、碑亭、塔祠等纪念设施或者场所；</w:t>
      </w:r>
    </w:p>
    <w:p w14:paraId="617D38EF">
      <w:pPr>
        <w:autoSpaceDE w:val="0"/>
        <w:adjustRightInd w:val="0"/>
        <w:snapToGrid w:val="0"/>
        <w:spacing w:line="560" w:lineRule="exact"/>
        <w:ind w:firstLine="640" w:firstLineChars="200"/>
        <w:rPr>
          <w:rFonts w:hint="eastAsia" w:ascii="仿宋" w:hAnsi="仿宋" w:cs="仿宋"/>
          <w:bCs/>
          <w:color w:val="000000"/>
          <w:lang w:eastAsia="zh-CN"/>
        </w:rPr>
      </w:pPr>
      <w:r>
        <w:rPr>
          <w:rFonts w:hint="eastAsia" w:ascii="仿宋" w:hAnsi="仿宋" w:eastAsia="仿宋" w:cs="仿宋"/>
          <w:bCs/>
          <w:color w:val="000000"/>
          <w:lang w:eastAsia="zh-CN"/>
        </w:rPr>
        <w:t>（四）重要著作、手稿、书信、文电、文件、图书、报刊、声像、证件</w:t>
      </w:r>
      <w:r>
        <w:rPr>
          <w:rFonts w:hint="eastAsia" w:ascii="仿宋" w:hAnsi="仿宋" w:cs="仿宋"/>
          <w:bCs/>
          <w:color w:val="000000"/>
          <w:lang w:eastAsia="zh-CN"/>
        </w:rPr>
        <w:t>、</w:t>
      </w:r>
      <w:r>
        <w:rPr>
          <w:rFonts w:hint="eastAsia" w:ascii="仿宋" w:hAnsi="仿宋" w:eastAsia="仿宋" w:cs="仿宋"/>
          <w:bCs/>
          <w:color w:val="000000"/>
          <w:lang w:eastAsia="zh-CN"/>
        </w:rPr>
        <w:t>标语</w:t>
      </w:r>
      <w:r>
        <w:rPr>
          <w:rFonts w:hint="eastAsia" w:ascii="仿宋" w:hAnsi="仿宋" w:cs="仿宋"/>
          <w:bCs/>
          <w:color w:val="000000"/>
          <w:lang w:eastAsia="zh-CN"/>
        </w:rPr>
        <w:t>、</w:t>
      </w:r>
      <w:r>
        <w:rPr>
          <w:rFonts w:hint="eastAsia" w:ascii="仿宋" w:hAnsi="仿宋" w:cs="仿宋"/>
          <w:bCs/>
          <w:color w:val="000000"/>
          <w:lang w:val="en-US" w:eastAsia="zh-CN"/>
        </w:rPr>
        <w:t>石刻、墨书</w:t>
      </w:r>
      <w:r>
        <w:rPr>
          <w:rFonts w:hint="eastAsia" w:ascii="仿宋" w:hAnsi="仿宋" w:eastAsia="仿宋" w:cs="仿宋"/>
          <w:bCs/>
          <w:color w:val="000000"/>
          <w:lang w:eastAsia="zh-CN"/>
        </w:rPr>
        <w:t>等文献</w:t>
      </w:r>
      <w:r>
        <w:rPr>
          <w:rFonts w:hint="eastAsia" w:ascii="仿宋" w:hAnsi="仿宋" w:cs="仿宋"/>
          <w:bCs/>
          <w:color w:val="000000"/>
          <w:lang w:eastAsia="zh-CN"/>
        </w:rPr>
        <w:t>、</w:t>
      </w:r>
      <w:r>
        <w:rPr>
          <w:rFonts w:hint="eastAsia" w:ascii="仿宋" w:hAnsi="仿宋" w:eastAsia="仿宋" w:cs="仿宋"/>
          <w:bCs/>
          <w:color w:val="000000"/>
          <w:lang w:eastAsia="zh-CN"/>
        </w:rPr>
        <w:t>档案</w:t>
      </w:r>
      <w:r>
        <w:rPr>
          <w:rFonts w:hint="eastAsia" w:ascii="仿宋" w:hAnsi="仿宋" w:cs="仿宋"/>
          <w:bCs/>
          <w:color w:val="000000"/>
          <w:lang w:val="en-US" w:eastAsia="zh-CN"/>
        </w:rPr>
        <w:t>和实物</w:t>
      </w:r>
      <w:r>
        <w:rPr>
          <w:rFonts w:hint="eastAsia" w:ascii="仿宋" w:hAnsi="仿宋" w:cs="仿宋"/>
          <w:bCs/>
          <w:color w:val="000000"/>
          <w:lang w:eastAsia="zh-CN"/>
        </w:rPr>
        <w:t>；</w:t>
      </w:r>
    </w:p>
    <w:p w14:paraId="7D59A7EC">
      <w:pPr>
        <w:autoSpaceDE w:val="0"/>
        <w:adjustRightInd w:val="0"/>
        <w:snapToGrid w:val="0"/>
        <w:spacing w:line="560" w:lineRule="exact"/>
        <w:ind w:firstLine="640" w:firstLineChars="200"/>
        <w:rPr>
          <w:rFonts w:hint="eastAsia" w:ascii="仿宋" w:hAnsi="仿宋" w:cs="仿宋"/>
          <w:bCs/>
          <w:color w:val="000000"/>
          <w:lang w:eastAsia="zh-CN"/>
        </w:rPr>
      </w:pPr>
      <w:r>
        <w:rPr>
          <w:rFonts w:hint="eastAsia" w:ascii="仿宋" w:hAnsi="仿宋" w:cs="仿宋"/>
          <w:bCs/>
          <w:color w:val="000000"/>
          <w:lang w:eastAsia="zh-CN"/>
        </w:rPr>
        <w:t>（</w:t>
      </w:r>
      <w:r>
        <w:rPr>
          <w:rFonts w:hint="eastAsia" w:ascii="仿宋" w:hAnsi="仿宋" w:cs="仿宋"/>
          <w:bCs/>
          <w:color w:val="000000"/>
          <w:lang w:val="en-US" w:eastAsia="zh-CN"/>
        </w:rPr>
        <w:t>五</w:t>
      </w:r>
      <w:r>
        <w:rPr>
          <w:rFonts w:hint="eastAsia" w:ascii="仿宋" w:hAnsi="仿宋" w:cs="仿宋"/>
          <w:bCs/>
          <w:color w:val="000000"/>
          <w:lang w:eastAsia="zh-CN"/>
        </w:rPr>
        <w:t>）其他与红色文化相关的具有代表性的遗址、遗迹和实物。</w:t>
      </w:r>
    </w:p>
    <w:p w14:paraId="5F1C0143">
      <w:pPr>
        <w:autoSpaceDE w:val="0"/>
        <w:adjustRightInd w:val="0"/>
        <w:snapToGrid w:val="0"/>
        <w:spacing w:line="560" w:lineRule="exact"/>
        <w:ind w:firstLine="640" w:firstLineChars="200"/>
        <w:rPr>
          <w:rFonts w:hint="eastAsia" w:ascii="黑体" w:hAnsi="黑体" w:eastAsia="黑体"/>
          <w:color w:val="000000"/>
          <w:lang w:eastAsia="zh-CN"/>
        </w:rPr>
      </w:pPr>
      <w:r>
        <w:rPr>
          <w:rFonts w:hint="eastAsia" w:ascii="黑体" w:hAnsi="黑体" w:eastAsia="黑体"/>
          <w:color w:val="000000"/>
        </w:rPr>
        <w:t>第四条</w:t>
      </w:r>
      <w:r>
        <w:rPr>
          <w:rFonts w:hint="eastAsia" w:ascii="黑体" w:hAnsi="黑体" w:eastAsia="黑体"/>
          <w:color w:val="000000"/>
          <w:lang w:eastAsia="zh-CN"/>
        </w:rPr>
        <w:t>【</w:t>
      </w:r>
      <w:r>
        <w:rPr>
          <w:rFonts w:hint="eastAsia" w:ascii="黑体" w:hAnsi="黑体" w:eastAsia="黑体"/>
          <w:color w:val="000000"/>
          <w:lang w:val="en-US" w:eastAsia="zh-CN"/>
        </w:rPr>
        <w:t>保护原则与机制</w:t>
      </w:r>
      <w:r>
        <w:rPr>
          <w:rFonts w:hint="eastAsia" w:ascii="黑体" w:hAnsi="黑体" w:eastAsia="黑体"/>
          <w:color w:val="000000"/>
          <w:lang w:eastAsia="zh-CN"/>
        </w:rPr>
        <w:t>】</w:t>
      </w:r>
      <w:r>
        <w:rPr>
          <w:rFonts w:hint="eastAsia" w:ascii="仿宋" w:hAnsi="仿宋" w:eastAsia="仿宋" w:cs="仿宋"/>
          <w:color w:val="000000"/>
          <w:lang w:eastAsia="zh-CN"/>
        </w:rPr>
        <w:t>红色文化遗存保护</w:t>
      </w:r>
      <w:r>
        <w:rPr>
          <w:rFonts w:hint="eastAsia" w:ascii="仿宋" w:hAnsi="仿宋" w:cs="仿宋"/>
          <w:color w:val="000000"/>
          <w:lang w:val="en-US" w:eastAsia="zh-CN"/>
        </w:rPr>
        <w:t>传承</w:t>
      </w:r>
      <w:r>
        <w:rPr>
          <w:rFonts w:hint="eastAsia" w:ascii="仿宋" w:hAnsi="仿宋" w:eastAsia="仿宋" w:cs="仿宋"/>
          <w:color w:val="000000"/>
          <w:lang w:eastAsia="zh-CN"/>
        </w:rPr>
        <w:t>利用</w:t>
      </w:r>
      <w:r>
        <w:rPr>
          <w:rFonts w:hint="eastAsia" w:ascii="仿宋" w:hAnsi="仿宋" w:cs="仿宋"/>
          <w:color w:val="000000"/>
          <w:lang w:val="en-US" w:eastAsia="zh-CN"/>
        </w:rPr>
        <w:t>应当</w:t>
      </w:r>
      <w:r>
        <w:rPr>
          <w:rFonts w:hint="eastAsia" w:ascii="仿宋" w:hAnsi="仿宋" w:eastAsia="仿宋" w:cs="仿宋"/>
          <w:color w:val="000000"/>
          <w:lang w:eastAsia="zh-CN"/>
        </w:rPr>
        <w:t>坚持中国共产党的领导，实行党委领导、政府负责、部门协同、社会参与的工作机制，</w:t>
      </w:r>
      <w:r>
        <w:rPr>
          <w:rFonts w:hint="eastAsia" w:ascii="仿宋" w:hAnsi="仿宋" w:cs="仿宋"/>
          <w:color w:val="000000"/>
          <w:lang w:val="en-US" w:eastAsia="zh-CN"/>
        </w:rPr>
        <w:t>坚持</w:t>
      </w:r>
      <w:r>
        <w:rPr>
          <w:rFonts w:hint="eastAsia" w:ascii="仿宋" w:hAnsi="仿宋" w:eastAsia="仿宋" w:cs="仿宋"/>
          <w:color w:val="000000"/>
          <w:lang w:eastAsia="zh-CN"/>
        </w:rPr>
        <w:t>尊重史实、依法保护、永续传承、合理利用的原则。</w:t>
      </w:r>
    </w:p>
    <w:p w14:paraId="05435FDF">
      <w:pPr>
        <w:autoSpaceDE w:val="0"/>
        <w:adjustRightInd w:val="0"/>
        <w:snapToGrid w:val="0"/>
        <w:spacing w:line="560" w:lineRule="exact"/>
        <w:ind w:firstLine="640" w:firstLineChars="200"/>
        <w:rPr>
          <w:rFonts w:hint="eastAsia" w:ascii="仿宋" w:hAnsi="仿宋" w:eastAsia="仿宋" w:cs="仿宋"/>
          <w:bCs/>
          <w:color w:val="000000"/>
          <w:lang w:eastAsia="zh-CN"/>
        </w:rPr>
      </w:pPr>
      <w:r>
        <w:rPr>
          <w:rFonts w:hint="eastAsia" w:ascii="黑体" w:hAnsi="黑体" w:eastAsia="黑体"/>
          <w:bCs/>
          <w:color w:val="000000"/>
        </w:rPr>
        <w:t>第五条</w:t>
      </w:r>
      <w:r>
        <w:rPr>
          <w:rFonts w:hint="eastAsia" w:ascii="黑体" w:hAnsi="黑体" w:eastAsia="黑体"/>
          <w:bCs/>
          <w:color w:val="000000"/>
          <w:lang w:eastAsia="zh-CN"/>
        </w:rPr>
        <w:t>【</w:t>
      </w:r>
      <w:r>
        <w:rPr>
          <w:rFonts w:hint="eastAsia" w:ascii="黑体" w:hAnsi="黑体" w:eastAsia="黑体"/>
          <w:bCs/>
          <w:color w:val="000000"/>
          <w:lang w:val="en-US" w:eastAsia="zh-CN"/>
        </w:rPr>
        <w:t>政府职责</w:t>
      </w:r>
      <w:r>
        <w:rPr>
          <w:rFonts w:hint="eastAsia" w:ascii="黑体" w:hAnsi="黑体" w:eastAsia="黑体"/>
          <w:bCs/>
          <w:color w:val="000000"/>
          <w:lang w:eastAsia="zh-CN"/>
        </w:rPr>
        <w:t>】</w:t>
      </w:r>
      <w:r>
        <w:rPr>
          <w:rFonts w:hint="eastAsia" w:ascii="仿宋" w:hAnsi="仿宋" w:eastAsia="仿宋" w:cs="仿宋"/>
          <w:bCs/>
          <w:color w:val="000000"/>
          <w:lang w:eastAsia="zh-CN"/>
        </w:rPr>
        <w:t>市、县（市、区）人民政府应当将红色文化遗存保护事业纳入本级国民经济和社会发展规划，统筹协调红色文化遗存保护工作中的重大问题，并将红色文化遗存保护工作经费列入本级财政预算，</w:t>
      </w:r>
      <w:r>
        <w:rPr>
          <w:rFonts w:hint="eastAsia" w:ascii="仿宋" w:hAnsi="仿宋" w:cs="仿宋"/>
          <w:bCs/>
          <w:color w:val="000000"/>
          <w:lang w:val="en-US" w:eastAsia="zh-CN"/>
        </w:rPr>
        <w:t>并</w:t>
      </w:r>
      <w:r>
        <w:rPr>
          <w:rFonts w:hint="eastAsia" w:ascii="仿宋" w:hAnsi="仿宋" w:eastAsia="仿宋" w:cs="仿宋"/>
          <w:bCs/>
          <w:color w:val="000000"/>
          <w:lang w:eastAsia="zh-CN"/>
        </w:rPr>
        <w:t>建立与经济发展相适应的经费保障机制</w:t>
      </w:r>
      <w:r>
        <w:rPr>
          <w:rFonts w:hint="eastAsia" w:ascii="仿宋" w:hAnsi="仿宋" w:cs="仿宋"/>
          <w:bCs/>
          <w:color w:val="000000"/>
          <w:lang w:eastAsia="zh-CN"/>
        </w:rPr>
        <w:t>，</w:t>
      </w:r>
      <w:r>
        <w:rPr>
          <w:rFonts w:hint="eastAsia" w:ascii="仿宋" w:hAnsi="仿宋" w:cs="仿宋"/>
          <w:bCs/>
          <w:color w:val="000000"/>
          <w:lang w:val="en-US" w:eastAsia="zh-CN"/>
        </w:rPr>
        <w:t>设立红色文化遗存保护专项资金。</w:t>
      </w:r>
    </w:p>
    <w:p w14:paraId="0355CFC7">
      <w:pPr>
        <w:autoSpaceDE w:val="0"/>
        <w:adjustRightInd w:val="0"/>
        <w:snapToGrid w:val="0"/>
        <w:spacing w:line="560" w:lineRule="exact"/>
        <w:ind w:firstLine="640" w:firstLineChars="200"/>
        <w:rPr>
          <w:rFonts w:hint="eastAsia" w:ascii="仿宋" w:hAnsi="仿宋" w:cs="仿宋"/>
          <w:sz w:val="21"/>
          <w:szCs w:val="21"/>
          <w:lang w:eastAsia="zh-CN"/>
        </w:rPr>
      </w:pPr>
      <w:r>
        <w:rPr>
          <w:rFonts w:hint="eastAsia" w:ascii="仿宋" w:hAnsi="仿宋" w:eastAsia="仿宋" w:cs="仿宋"/>
          <w:bCs/>
          <w:color w:val="000000"/>
          <w:lang w:eastAsia="zh-CN"/>
        </w:rPr>
        <w:t>镇人民政府、街道办事处按照职责做好本辖区</w:t>
      </w:r>
      <w:r>
        <w:rPr>
          <w:rFonts w:hint="eastAsia" w:ascii="仿宋" w:hAnsi="仿宋" w:cs="仿宋"/>
          <w:bCs/>
          <w:color w:val="000000"/>
          <w:lang w:val="en-US" w:eastAsia="zh-CN"/>
        </w:rPr>
        <w:t>红色文化遗存</w:t>
      </w:r>
      <w:r>
        <w:rPr>
          <w:rFonts w:hint="eastAsia" w:ascii="仿宋" w:hAnsi="仿宋" w:eastAsia="仿宋" w:cs="仿宋"/>
          <w:bCs/>
          <w:color w:val="000000"/>
          <w:lang w:eastAsia="zh-CN"/>
        </w:rPr>
        <w:t>保护</w:t>
      </w:r>
      <w:r>
        <w:rPr>
          <w:rFonts w:hint="eastAsia" w:ascii="仿宋" w:hAnsi="仿宋" w:cs="仿宋"/>
          <w:bCs/>
          <w:color w:val="000000"/>
          <w:lang w:val="en-US" w:eastAsia="zh-CN"/>
        </w:rPr>
        <w:t>传承</w:t>
      </w:r>
      <w:r>
        <w:rPr>
          <w:rFonts w:hint="eastAsia" w:ascii="仿宋" w:hAnsi="仿宋" w:eastAsia="仿宋" w:cs="仿宋"/>
          <w:bCs/>
          <w:color w:val="000000"/>
          <w:lang w:eastAsia="zh-CN"/>
        </w:rPr>
        <w:t>利用相关工作。</w:t>
      </w:r>
    </w:p>
    <w:p w14:paraId="6813895B">
      <w:pPr>
        <w:autoSpaceDE w:val="0"/>
        <w:adjustRightInd w:val="0"/>
        <w:snapToGrid w:val="0"/>
        <w:spacing w:line="560" w:lineRule="exact"/>
        <w:ind w:firstLine="640" w:firstLineChars="200"/>
        <w:rPr>
          <w:rFonts w:hint="eastAsia" w:ascii="黑体" w:hAnsi="黑体" w:eastAsia="黑体"/>
          <w:color w:val="000000"/>
          <w:lang w:eastAsia="zh-CN"/>
        </w:rPr>
      </w:pPr>
      <w:r>
        <w:rPr>
          <w:rFonts w:hint="eastAsia" w:ascii="黑体" w:hAnsi="黑体" w:eastAsia="黑体"/>
          <w:color w:val="000000"/>
        </w:rPr>
        <w:t>第六条</w:t>
      </w:r>
      <w:r>
        <w:rPr>
          <w:rFonts w:hint="eastAsia" w:ascii="黑体" w:hAnsi="黑体" w:eastAsia="黑体"/>
          <w:color w:val="000000"/>
          <w:lang w:eastAsia="zh-CN"/>
        </w:rPr>
        <w:t>【</w:t>
      </w:r>
      <w:r>
        <w:rPr>
          <w:rFonts w:hint="eastAsia" w:ascii="黑体" w:hAnsi="黑体" w:eastAsia="黑体"/>
          <w:color w:val="000000"/>
          <w:lang w:val="en-US" w:eastAsia="zh-CN"/>
        </w:rPr>
        <w:t>部门职责</w:t>
      </w:r>
      <w:r>
        <w:rPr>
          <w:rFonts w:hint="eastAsia" w:ascii="黑体" w:hAnsi="黑体" w:eastAsia="黑体"/>
          <w:color w:val="000000"/>
          <w:lang w:eastAsia="zh-CN"/>
        </w:rPr>
        <w:t>】</w:t>
      </w:r>
      <w:r>
        <w:rPr>
          <w:rFonts w:hint="eastAsia" w:ascii="仿宋" w:hAnsi="仿宋" w:eastAsia="仿宋" w:cs="仿宋"/>
          <w:bCs/>
          <w:color w:val="000000"/>
          <w:lang w:eastAsia="zh-CN"/>
        </w:rPr>
        <w:t>市、县（市、区）宣传部门负责红色文化遗存保护</w:t>
      </w:r>
      <w:r>
        <w:rPr>
          <w:rFonts w:hint="eastAsia" w:ascii="仿宋" w:hAnsi="仿宋" w:cs="仿宋"/>
          <w:bCs/>
          <w:color w:val="000000"/>
          <w:lang w:val="en-US" w:eastAsia="zh-CN"/>
        </w:rPr>
        <w:t>传承</w:t>
      </w:r>
      <w:r>
        <w:rPr>
          <w:rFonts w:hint="eastAsia" w:ascii="仿宋" w:hAnsi="仿宋" w:eastAsia="仿宋" w:cs="仿宋"/>
          <w:bCs/>
          <w:color w:val="000000"/>
          <w:lang w:eastAsia="zh-CN"/>
        </w:rPr>
        <w:t>利用的协调指导，建立健全红色文化遗存保护传承利用工作机制。</w:t>
      </w:r>
      <w:r>
        <w:rPr>
          <w:rFonts w:hint="eastAsia" w:ascii="黑体" w:hAnsi="黑体" w:eastAsia="黑体"/>
          <w:color w:val="000000"/>
          <w:lang w:eastAsia="zh-CN"/>
        </w:rPr>
        <w:t xml:space="preserve"> </w:t>
      </w:r>
    </w:p>
    <w:p w14:paraId="4468CBF3">
      <w:pPr>
        <w:autoSpaceDE w:val="0"/>
        <w:adjustRightInd w:val="0"/>
        <w:snapToGrid w:val="0"/>
        <w:spacing w:line="560" w:lineRule="exact"/>
        <w:ind w:firstLine="640" w:firstLineChars="200"/>
        <w:rPr>
          <w:rFonts w:hint="eastAsia" w:ascii="仿宋" w:hAnsi="仿宋" w:eastAsia="仿宋" w:cs="仿宋"/>
          <w:bCs/>
          <w:color w:val="000000"/>
          <w:lang w:eastAsia="zh-CN"/>
        </w:rPr>
      </w:pPr>
      <w:r>
        <w:rPr>
          <w:rFonts w:hint="eastAsia" w:ascii="仿宋" w:hAnsi="仿宋" w:eastAsia="仿宋" w:cs="仿宋"/>
          <w:bCs/>
          <w:color w:val="000000"/>
          <w:lang w:eastAsia="zh-CN"/>
        </w:rPr>
        <w:t xml:space="preserve">市、县（市、区）文物行政主管部门负责指导、协调和监督本行政区域内的红色文化遗存的保护管理工作。  </w:t>
      </w:r>
    </w:p>
    <w:p w14:paraId="7F26FCBE">
      <w:pPr>
        <w:autoSpaceDE w:val="0"/>
        <w:adjustRightInd w:val="0"/>
        <w:snapToGrid w:val="0"/>
        <w:spacing w:line="560" w:lineRule="exact"/>
        <w:ind w:firstLine="640" w:firstLineChars="200"/>
        <w:rPr>
          <w:rFonts w:hint="eastAsia" w:ascii="仿宋" w:hAnsi="仿宋" w:eastAsia="仿宋" w:cs="仿宋"/>
          <w:bCs/>
          <w:color w:val="000000"/>
          <w:lang w:eastAsia="zh-CN"/>
        </w:rPr>
      </w:pPr>
      <w:r>
        <w:rPr>
          <w:rFonts w:hint="eastAsia" w:ascii="仿宋" w:hAnsi="仿宋" w:eastAsia="仿宋" w:cs="仿宋"/>
          <w:bCs/>
          <w:color w:val="000000"/>
          <w:lang w:eastAsia="zh-CN"/>
        </w:rPr>
        <w:t>退役军人事务行政主管部门负责英雄烈士纪念设施保护管理和宣传利用工作。</w:t>
      </w:r>
    </w:p>
    <w:p w14:paraId="3FE63286">
      <w:pPr>
        <w:autoSpaceDE w:val="0"/>
        <w:adjustRightInd w:val="0"/>
        <w:snapToGrid w:val="0"/>
        <w:spacing w:line="560" w:lineRule="exact"/>
        <w:ind w:firstLine="640" w:firstLineChars="200"/>
        <w:rPr>
          <w:rFonts w:hint="eastAsia" w:ascii="黑体" w:hAnsi="黑体" w:eastAsia="黑体"/>
          <w:color w:val="000000"/>
          <w:lang w:eastAsia="zh-CN"/>
        </w:rPr>
      </w:pPr>
      <w:r>
        <w:rPr>
          <w:rFonts w:hint="eastAsia" w:ascii="仿宋" w:hAnsi="仿宋" w:eastAsia="仿宋" w:cs="仿宋"/>
          <w:bCs/>
          <w:color w:val="000000"/>
          <w:highlight w:val="none"/>
          <w:lang w:eastAsia="zh-CN"/>
        </w:rPr>
        <w:t>党史、地方志</w:t>
      </w:r>
      <w:r>
        <w:rPr>
          <w:rFonts w:hint="eastAsia" w:ascii="仿宋" w:hAnsi="仿宋" w:cs="仿宋"/>
          <w:bCs/>
          <w:color w:val="000000"/>
          <w:highlight w:val="none"/>
          <w:lang w:eastAsia="zh-CN"/>
        </w:rPr>
        <w:t>、</w:t>
      </w:r>
      <w:r>
        <w:rPr>
          <w:rFonts w:hint="eastAsia" w:ascii="仿宋" w:hAnsi="仿宋" w:eastAsia="仿宋" w:cs="仿宋"/>
          <w:bCs/>
          <w:color w:val="000000"/>
          <w:highlight w:val="none"/>
          <w:lang w:eastAsia="zh-CN"/>
        </w:rPr>
        <w:t>档案、发展</w:t>
      </w:r>
      <w:r>
        <w:rPr>
          <w:rFonts w:hint="eastAsia" w:ascii="仿宋" w:hAnsi="仿宋" w:cs="仿宋"/>
          <w:bCs/>
          <w:color w:val="000000"/>
          <w:highlight w:val="none"/>
          <w:lang w:val="en-US" w:eastAsia="zh-CN"/>
        </w:rPr>
        <w:t>和</w:t>
      </w:r>
      <w:r>
        <w:rPr>
          <w:rFonts w:hint="eastAsia" w:ascii="仿宋" w:hAnsi="仿宋" w:eastAsia="仿宋" w:cs="仿宋"/>
          <w:bCs/>
          <w:color w:val="000000"/>
          <w:highlight w:val="none"/>
          <w:lang w:eastAsia="zh-CN"/>
        </w:rPr>
        <w:t>改革、财政、教育、</w:t>
      </w:r>
      <w:r>
        <w:rPr>
          <w:rFonts w:hint="eastAsia" w:ascii="仿宋" w:hAnsi="仿宋" w:cs="仿宋"/>
          <w:bCs/>
          <w:color w:val="000000"/>
          <w:highlight w:val="none"/>
          <w:lang w:val="en-US" w:eastAsia="zh-CN"/>
        </w:rPr>
        <w:t>公安、民政、</w:t>
      </w:r>
      <w:r>
        <w:rPr>
          <w:rFonts w:hint="eastAsia" w:ascii="仿宋" w:hAnsi="仿宋" w:eastAsia="仿宋" w:cs="仿宋"/>
          <w:bCs/>
          <w:color w:val="000000"/>
          <w:highlight w:val="none"/>
          <w:lang w:eastAsia="zh-CN"/>
        </w:rPr>
        <w:t>工业</w:t>
      </w:r>
      <w:r>
        <w:rPr>
          <w:rFonts w:hint="eastAsia" w:ascii="仿宋" w:hAnsi="仿宋" w:cs="仿宋"/>
          <w:bCs/>
          <w:color w:val="000000"/>
          <w:highlight w:val="none"/>
          <w:lang w:val="en-US" w:eastAsia="zh-CN"/>
        </w:rPr>
        <w:t>和</w:t>
      </w:r>
      <w:r>
        <w:rPr>
          <w:rFonts w:hint="eastAsia" w:ascii="仿宋" w:hAnsi="仿宋" w:eastAsia="仿宋" w:cs="仿宋"/>
          <w:bCs/>
          <w:color w:val="000000"/>
          <w:highlight w:val="none"/>
          <w:lang w:eastAsia="zh-CN"/>
        </w:rPr>
        <w:t>信息化、人力资源</w:t>
      </w:r>
      <w:r>
        <w:rPr>
          <w:rFonts w:hint="eastAsia" w:ascii="仿宋" w:hAnsi="仿宋" w:cs="仿宋"/>
          <w:bCs/>
          <w:color w:val="000000"/>
          <w:highlight w:val="none"/>
          <w:lang w:val="en-US" w:eastAsia="zh-CN"/>
        </w:rPr>
        <w:t>和</w:t>
      </w:r>
      <w:r>
        <w:rPr>
          <w:rFonts w:hint="eastAsia" w:ascii="仿宋" w:hAnsi="仿宋" w:eastAsia="仿宋" w:cs="仿宋"/>
          <w:bCs/>
          <w:color w:val="000000"/>
          <w:highlight w:val="none"/>
          <w:lang w:eastAsia="zh-CN"/>
        </w:rPr>
        <w:t>社会保障、自然资源、生态环境、文化</w:t>
      </w:r>
      <w:r>
        <w:rPr>
          <w:rFonts w:hint="eastAsia" w:ascii="仿宋" w:hAnsi="仿宋" w:cs="仿宋"/>
          <w:bCs/>
          <w:color w:val="000000"/>
          <w:highlight w:val="none"/>
          <w:lang w:val="en-US" w:eastAsia="zh-CN"/>
        </w:rPr>
        <w:t>和</w:t>
      </w:r>
      <w:r>
        <w:rPr>
          <w:rFonts w:hint="eastAsia" w:ascii="仿宋" w:hAnsi="仿宋" w:eastAsia="仿宋" w:cs="仿宋"/>
          <w:bCs/>
          <w:color w:val="000000"/>
          <w:highlight w:val="none"/>
          <w:lang w:eastAsia="zh-CN"/>
        </w:rPr>
        <w:t>旅游广播电视、</w:t>
      </w:r>
      <w:r>
        <w:rPr>
          <w:rFonts w:hint="eastAsia" w:ascii="仿宋" w:hAnsi="仿宋" w:cs="仿宋"/>
          <w:bCs/>
          <w:color w:val="000000"/>
          <w:highlight w:val="none"/>
          <w:lang w:val="en-US" w:eastAsia="zh-CN"/>
        </w:rPr>
        <w:t>住房和城乡建设、城市管理、应急管理、消防救援</w:t>
      </w:r>
      <w:r>
        <w:rPr>
          <w:rFonts w:hint="eastAsia" w:ascii="仿宋" w:hAnsi="仿宋" w:eastAsia="仿宋" w:cs="仿宋"/>
          <w:bCs/>
          <w:color w:val="000000"/>
          <w:highlight w:val="none"/>
          <w:lang w:eastAsia="zh-CN"/>
        </w:rPr>
        <w:t>等</w:t>
      </w:r>
      <w:r>
        <w:rPr>
          <w:rFonts w:hint="eastAsia" w:ascii="仿宋" w:hAnsi="仿宋" w:eastAsia="仿宋" w:cs="仿宋"/>
          <w:bCs/>
          <w:color w:val="000000"/>
          <w:lang w:eastAsia="zh-CN"/>
        </w:rPr>
        <w:t>相关部门</w:t>
      </w:r>
      <w:r>
        <w:rPr>
          <w:rFonts w:hint="eastAsia" w:ascii="仿宋" w:hAnsi="仿宋" w:cs="仿宋"/>
          <w:bCs/>
          <w:color w:val="000000"/>
          <w:lang w:eastAsia="zh-CN"/>
        </w:rPr>
        <w:t>、</w:t>
      </w:r>
      <w:r>
        <w:rPr>
          <w:rFonts w:hint="eastAsia" w:ascii="仿宋" w:hAnsi="仿宋" w:cs="仿宋"/>
          <w:bCs/>
          <w:color w:val="000000"/>
          <w:lang w:val="en-US" w:eastAsia="zh-CN"/>
        </w:rPr>
        <w:t>工作机构</w:t>
      </w:r>
      <w:r>
        <w:rPr>
          <w:rFonts w:hint="eastAsia" w:ascii="仿宋" w:hAnsi="仿宋" w:eastAsia="仿宋" w:cs="仿宋"/>
          <w:bCs/>
          <w:color w:val="000000"/>
          <w:lang w:eastAsia="zh-CN"/>
        </w:rPr>
        <w:t>在各自的职责范围内做好红色文化遗存保护</w:t>
      </w:r>
      <w:r>
        <w:rPr>
          <w:rFonts w:hint="eastAsia" w:ascii="仿宋" w:hAnsi="仿宋" w:cs="仿宋"/>
          <w:bCs/>
          <w:color w:val="000000"/>
          <w:lang w:val="en-US" w:eastAsia="zh-CN"/>
        </w:rPr>
        <w:t>传承</w:t>
      </w:r>
      <w:r>
        <w:rPr>
          <w:rFonts w:hint="eastAsia" w:ascii="仿宋" w:hAnsi="仿宋" w:eastAsia="仿宋" w:cs="仿宋"/>
          <w:bCs/>
          <w:color w:val="000000"/>
          <w:lang w:eastAsia="zh-CN"/>
        </w:rPr>
        <w:t>利用工作。</w:t>
      </w:r>
    </w:p>
    <w:p w14:paraId="4B280D6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黑体" w:hAnsi="黑体" w:eastAsia="黑体"/>
          <w:color w:val="000000"/>
          <w:lang w:val="en-US" w:eastAsia="zh-CN"/>
        </w:rPr>
        <w:t>第七条【社会参与】</w:t>
      </w:r>
      <w:r>
        <w:rPr>
          <w:rFonts w:hint="eastAsia" w:ascii="仿宋" w:hAnsi="仿宋" w:eastAsia="仿宋" w:cs="仿宋"/>
          <w:color w:val="000000"/>
          <w:lang w:val="en-US" w:eastAsia="zh-CN"/>
        </w:rPr>
        <w:t>工会、共青团、妇联等人民团体应当发挥各自优势，组织开展红色文化遗存保护传承利用的宣传</w:t>
      </w:r>
      <w:r>
        <w:rPr>
          <w:rFonts w:hint="eastAsia" w:ascii="仿宋" w:hAnsi="仿宋" w:cs="仿宋"/>
          <w:color w:val="000000"/>
          <w:lang w:val="en-US" w:eastAsia="zh-CN"/>
        </w:rPr>
        <w:t>、</w:t>
      </w:r>
      <w:r>
        <w:rPr>
          <w:rFonts w:hint="eastAsia" w:ascii="仿宋" w:hAnsi="仿宋" w:eastAsia="仿宋" w:cs="仿宋"/>
          <w:color w:val="000000"/>
          <w:lang w:val="en-US" w:eastAsia="zh-CN"/>
        </w:rPr>
        <w:t>动员</w:t>
      </w:r>
      <w:r>
        <w:rPr>
          <w:rFonts w:hint="eastAsia" w:ascii="仿宋" w:hAnsi="仿宋" w:cs="仿宋"/>
          <w:color w:val="000000"/>
          <w:lang w:val="en-US" w:eastAsia="zh-CN"/>
        </w:rPr>
        <w:t>、教育</w:t>
      </w:r>
      <w:r>
        <w:rPr>
          <w:rFonts w:hint="eastAsia" w:ascii="仿宋" w:hAnsi="仿宋" w:eastAsia="仿宋" w:cs="仿宋"/>
          <w:color w:val="000000"/>
          <w:lang w:val="en-US" w:eastAsia="zh-CN"/>
        </w:rPr>
        <w:t>工作。</w:t>
      </w:r>
    </w:p>
    <w:p w14:paraId="60DC79F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居民委员会、村民委员会应当协助、配合人民政府和有关部门做好红色文化遗存保护传承利用工作。</w:t>
      </w:r>
    </w:p>
    <w:p w14:paraId="48F89EC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鼓励公民、法人和其他组织通过投资、捐赠、志愿服务、技术支持、文艺创作以及学术研究等方式，参与红色文化遗存的保护</w:t>
      </w:r>
      <w:r>
        <w:rPr>
          <w:rFonts w:hint="eastAsia" w:ascii="仿宋" w:hAnsi="仿宋" w:cs="仿宋"/>
          <w:color w:val="000000"/>
          <w:lang w:val="en-US" w:eastAsia="zh-CN"/>
        </w:rPr>
        <w:t>传承</w:t>
      </w:r>
      <w:r>
        <w:rPr>
          <w:rFonts w:hint="eastAsia" w:ascii="仿宋" w:hAnsi="仿宋" w:eastAsia="仿宋" w:cs="仿宋"/>
          <w:color w:val="000000"/>
          <w:lang w:val="en-US" w:eastAsia="zh-CN"/>
        </w:rPr>
        <w:t>利用。</w:t>
      </w:r>
    </w:p>
    <w:p w14:paraId="0C0E9146">
      <w:pPr>
        <w:autoSpaceDE w:val="0"/>
        <w:adjustRightInd w:val="0"/>
        <w:snapToGrid w:val="0"/>
        <w:spacing w:line="560" w:lineRule="exact"/>
        <w:ind w:firstLine="640" w:firstLineChars="200"/>
        <w:rPr>
          <w:rFonts w:hint="eastAsia" w:ascii="仿宋" w:hAnsi="仿宋" w:cs="仿宋"/>
          <w:bCs/>
          <w:color w:val="000000"/>
          <w:highlight w:val="none"/>
          <w:lang w:val="en-US" w:eastAsia="zh-CN"/>
        </w:rPr>
      </w:pPr>
      <w:r>
        <w:rPr>
          <w:rFonts w:hint="eastAsia" w:ascii="黑体" w:hAnsi="黑体" w:eastAsia="黑体"/>
          <w:bCs/>
          <w:color w:val="000000"/>
          <w:highlight w:val="none"/>
          <w:lang w:val="en-US" w:eastAsia="zh-CN"/>
        </w:rPr>
        <w:t>第八条【社会资本参与】</w:t>
      </w:r>
      <w:r>
        <w:rPr>
          <w:rFonts w:hint="eastAsia" w:ascii="仿宋" w:hAnsi="仿宋" w:eastAsia="仿宋" w:cs="仿宋"/>
          <w:bCs/>
          <w:color w:val="000000"/>
          <w:highlight w:val="none"/>
          <w:lang w:val="en-US" w:eastAsia="zh-CN"/>
        </w:rPr>
        <w:t>鼓励和支持社会资本参与红色文化遗存的保护</w:t>
      </w:r>
      <w:r>
        <w:rPr>
          <w:rFonts w:hint="eastAsia" w:ascii="仿宋" w:hAnsi="仿宋" w:cs="仿宋"/>
          <w:bCs/>
          <w:color w:val="000000"/>
          <w:highlight w:val="none"/>
          <w:lang w:val="en-US" w:eastAsia="zh-CN"/>
        </w:rPr>
        <w:t>传承</w:t>
      </w:r>
      <w:r>
        <w:rPr>
          <w:rFonts w:hint="eastAsia" w:ascii="仿宋" w:hAnsi="仿宋" w:eastAsia="仿宋" w:cs="仿宋"/>
          <w:bCs/>
          <w:color w:val="000000"/>
          <w:highlight w:val="none"/>
          <w:lang w:val="en-US" w:eastAsia="zh-CN"/>
        </w:rPr>
        <w:t>利用，投资建设红色文化遗存保护设施，打造红色文化多元传播平台，推进红色文化与</w:t>
      </w:r>
      <w:r>
        <w:rPr>
          <w:rFonts w:hint="eastAsia" w:ascii="仿宋" w:hAnsi="仿宋" w:cs="仿宋"/>
          <w:bCs/>
          <w:color w:val="000000"/>
          <w:highlight w:val="none"/>
          <w:lang w:val="en-US" w:eastAsia="zh-CN"/>
        </w:rPr>
        <w:t>旅游、影视、网游、文创、出版等产业</w:t>
      </w:r>
      <w:r>
        <w:rPr>
          <w:rFonts w:hint="eastAsia" w:ascii="仿宋" w:hAnsi="仿宋" w:eastAsia="仿宋" w:cs="仿宋"/>
          <w:bCs/>
          <w:color w:val="000000"/>
          <w:highlight w:val="none"/>
          <w:lang w:val="en-US" w:eastAsia="zh-CN"/>
        </w:rPr>
        <w:t>融合发展。</w:t>
      </w:r>
    </w:p>
    <w:p w14:paraId="713C81F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highlight w:val="none"/>
          <w:lang w:val="en-US" w:eastAsia="zh-CN"/>
        </w:rPr>
      </w:pPr>
      <w:r>
        <w:rPr>
          <w:rFonts w:hint="default" w:ascii="仿宋" w:hAnsi="仿宋" w:cs="仿宋"/>
          <w:bCs/>
          <w:color w:val="000000"/>
          <w:highlight w:val="none"/>
          <w:lang w:val="en-US" w:eastAsia="zh-CN"/>
        </w:rPr>
        <w:t>社会资本参与红色文化遗存的保护传承利用</w:t>
      </w:r>
      <w:r>
        <w:rPr>
          <w:rFonts w:hint="eastAsia" w:ascii="仿宋" w:hAnsi="仿宋" w:cs="仿宋"/>
          <w:bCs/>
          <w:color w:val="000000"/>
          <w:highlight w:val="none"/>
          <w:lang w:val="en-US" w:eastAsia="zh-CN"/>
        </w:rPr>
        <w:t>，依法享有相关优惠政策。</w:t>
      </w:r>
    </w:p>
    <w:p w14:paraId="32A01976">
      <w:pPr>
        <w:autoSpaceDE w:val="0"/>
        <w:adjustRightInd w:val="0"/>
        <w:snapToGrid w:val="0"/>
        <w:spacing w:line="560" w:lineRule="exact"/>
        <w:ind w:firstLine="640" w:firstLineChars="200"/>
        <w:rPr>
          <w:rFonts w:hint="eastAsia" w:ascii="黑体" w:hAnsi="黑体" w:eastAsia="黑体"/>
          <w:color w:val="000000"/>
          <w:lang w:eastAsia="zh-CN"/>
        </w:rPr>
      </w:pPr>
      <w:r>
        <w:rPr>
          <w:rFonts w:hint="eastAsia" w:ascii="黑体" w:hAnsi="黑体" w:eastAsia="黑体"/>
          <w:color w:val="000000"/>
        </w:rPr>
        <w:t>第</w:t>
      </w:r>
      <w:r>
        <w:rPr>
          <w:rFonts w:hint="eastAsia" w:ascii="黑体" w:hAnsi="黑体" w:eastAsia="黑体"/>
          <w:color w:val="000000"/>
          <w:lang w:val="en-US" w:eastAsia="zh-CN"/>
        </w:rPr>
        <w:t>九</w:t>
      </w:r>
      <w:r>
        <w:rPr>
          <w:rFonts w:hint="eastAsia" w:ascii="黑体" w:hAnsi="黑体" w:eastAsia="黑体"/>
          <w:color w:val="000000"/>
        </w:rPr>
        <w:t>条</w:t>
      </w:r>
      <w:r>
        <w:rPr>
          <w:rFonts w:hint="eastAsia" w:ascii="黑体" w:hAnsi="黑体" w:eastAsia="黑体"/>
          <w:color w:val="000000"/>
          <w:lang w:eastAsia="zh-CN"/>
        </w:rPr>
        <w:t>【</w:t>
      </w:r>
      <w:r>
        <w:rPr>
          <w:rFonts w:hint="eastAsia" w:ascii="黑体" w:hAnsi="黑体" w:eastAsia="黑体"/>
          <w:color w:val="000000"/>
          <w:lang w:val="en-US" w:eastAsia="zh-CN"/>
        </w:rPr>
        <w:t>协同发展</w:t>
      </w:r>
      <w:r>
        <w:rPr>
          <w:rFonts w:hint="eastAsia" w:ascii="黑体" w:hAnsi="黑体" w:eastAsia="黑体"/>
          <w:color w:val="000000"/>
          <w:lang w:eastAsia="zh-CN"/>
        </w:rPr>
        <w:t>】</w:t>
      </w:r>
      <w:r>
        <w:rPr>
          <w:rFonts w:hint="eastAsia" w:ascii="仿宋" w:hAnsi="仿宋" w:eastAsia="仿宋" w:cs="仿宋"/>
          <w:color w:val="000000"/>
          <w:lang w:eastAsia="zh-CN"/>
        </w:rPr>
        <w:t>市、县（市、区）人民政府应当加强省际、市际、县际合作交流，共同开展</w:t>
      </w:r>
      <w:r>
        <w:rPr>
          <w:rFonts w:hint="eastAsia" w:ascii="仿宋" w:hAnsi="仿宋" w:eastAsia="仿宋" w:cs="仿宋"/>
          <w:color w:val="000000"/>
          <w:lang w:val="en-US" w:eastAsia="zh-CN"/>
        </w:rPr>
        <w:t>红色文化遗存</w:t>
      </w:r>
      <w:r>
        <w:rPr>
          <w:rFonts w:hint="eastAsia" w:ascii="仿宋" w:hAnsi="仿宋" w:eastAsia="仿宋" w:cs="仿宋"/>
          <w:color w:val="000000"/>
          <w:lang w:eastAsia="zh-CN"/>
        </w:rPr>
        <w:t>保护利用研究、文艺创作、红色旅游等活动，推动红色文化遗存保护管理和传承利用协同发展。</w:t>
      </w:r>
    </w:p>
    <w:p w14:paraId="7F4211D7">
      <w:pPr>
        <w:autoSpaceDE w:val="0"/>
        <w:adjustRightInd w:val="0"/>
        <w:snapToGrid w:val="0"/>
        <w:spacing w:line="560" w:lineRule="exact"/>
        <w:ind w:firstLine="640" w:firstLineChars="200"/>
        <w:rPr>
          <w:rFonts w:hint="eastAsia" w:ascii="仿宋" w:hAnsi="仿宋" w:eastAsia="仿宋" w:cs="仿宋"/>
          <w:color w:val="000000"/>
          <w:lang w:eastAsia="zh-CN"/>
        </w:rPr>
      </w:pPr>
      <w:r>
        <w:rPr>
          <w:rFonts w:hint="eastAsia" w:ascii="黑体" w:hAnsi="黑体" w:eastAsia="黑体"/>
          <w:color w:val="000000"/>
        </w:rPr>
        <w:t>第</w:t>
      </w:r>
      <w:r>
        <w:rPr>
          <w:rFonts w:hint="eastAsia" w:ascii="黑体" w:hAnsi="黑体" w:eastAsia="黑体"/>
          <w:color w:val="000000"/>
          <w:lang w:val="en-US" w:eastAsia="zh-CN"/>
        </w:rPr>
        <w:t>十</w:t>
      </w:r>
      <w:r>
        <w:rPr>
          <w:rFonts w:hint="eastAsia" w:ascii="黑体" w:hAnsi="黑体" w:eastAsia="黑体"/>
          <w:color w:val="000000"/>
        </w:rPr>
        <w:t>条</w:t>
      </w:r>
      <w:r>
        <w:rPr>
          <w:rFonts w:hint="eastAsia" w:ascii="黑体" w:hAnsi="黑体" w:eastAsia="黑体"/>
          <w:color w:val="000000"/>
          <w:lang w:eastAsia="zh-CN"/>
        </w:rPr>
        <w:t>【</w:t>
      </w:r>
      <w:r>
        <w:rPr>
          <w:rFonts w:hint="eastAsia" w:ascii="黑体" w:hAnsi="黑体" w:eastAsia="黑体"/>
          <w:color w:val="000000"/>
          <w:lang w:val="en-US" w:eastAsia="zh-CN"/>
        </w:rPr>
        <w:t>投诉举报</w:t>
      </w:r>
      <w:r>
        <w:rPr>
          <w:rFonts w:hint="eastAsia" w:ascii="黑体" w:hAnsi="黑体" w:eastAsia="黑体"/>
          <w:color w:val="000000"/>
          <w:lang w:eastAsia="zh-CN"/>
        </w:rPr>
        <w:t>】</w:t>
      </w:r>
      <w:r>
        <w:rPr>
          <w:rFonts w:hint="eastAsia" w:ascii="仿宋" w:hAnsi="仿宋" w:eastAsia="仿宋" w:cs="仿宋"/>
          <w:color w:val="000000"/>
          <w:lang w:eastAsia="zh-CN"/>
        </w:rPr>
        <w:t>任何单位和个人都有依法保护红色文化遗存的义务，有权对破坏、损毁红色文化遗存的行为进行劝阻、检举或者控告。</w:t>
      </w:r>
    </w:p>
    <w:p w14:paraId="4AF768F3">
      <w:pPr>
        <w:autoSpaceDE w:val="0"/>
        <w:adjustRightInd w:val="0"/>
        <w:snapToGrid w:val="0"/>
        <w:spacing w:line="560" w:lineRule="exact"/>
        <w:ind w:firstLine="640" w:firstLineChars="200"/>
        <w:rPr>
          <w:rFonts w:hint="eastAsia" w:ascii="仿宋" w:hAnsi="仿宋" w:eastAsia="仿宋" w:cs="仿宋"/>
          <w:color w:val="000000"/>
          <w:lang w:eastAsia="zh-CN"/>
        </w:rPr>
      </w:pPr>
      <w:r>
        <w:rPr>
          <w:rFonts w:hint="eastAsia" w:ascii="仿宋" w:hAnsi="仿宋" w:eastAsia="仿宋" w:cs="仿宋"/>
          <w:color w:val="000000"/>
          <w:lang w:eastAsia="zh-CN"/>
        </w:rPr>
        <w:t>市、县</w:t>
      </w:r>
      <w:r>
        <w:rPr>
          <w:rFonts w:hint="eastAsia" w:ascii="仿宋" w:hAnsi="仿宋" w:cs="仿宋"/>
          <w:color w:val="000000"/>
          <w:lang w:eastAsia="zh-CN"/>
        </w:rPr>
        <w:t>（</w:t>
      </w:r>
      <w:r>
        <w:rPr>
          <w:rFonts w:hint="eastAsia" w:ascii="仿宋" w:hAnsi="仿宋" w:cs="仿宋"/>
          <w:color w:val="000000"/>
          <w:lang w:val="en-US" w:eastAsia="zh-CN"/>
        </w:rPr>
        <w:t>市、区</w:t>
      </w:r>
      <w:r>
        <w:rPr>
          <w:rFonts w:hint="eastAsia" w:ascii="仿宋" w:hAnsi="仿宋" w:cs="仿宋"/>
          <w:color w:val="000000"/>
          <w:lang w:eastAsia="zh-CN"/>
        </w:rPr>
        <w:t>）</w:t>
      </w:r>
      <w:r>
        <w:rPr>
          <w:rFonts w:hint="eastAsia" w:ascii="仿宋" w:hAnsi="仿宋" w:cs="仿宋"/>
          <w:color w:val="000000"/>
          <w:lang w:val="en-US" w:eastAsia="zh-CN"/>
        </w:rPr>
        <w:t>文物行政主管部门</w:t>
      </w:r>
      <w:r>
        <w:rPr>
          <w:rFonts w:hint="eastAsia" w:ascii="仿宋" w:hAnsi="仿宋" w:eastAsia="仿宋" w:cs="仿宋"/>
          <w:color w:val="000000"/>
          <w:lang w:eastAsia="zh-CN"/>
        </w:rPr>
        <w:t>应当建立红色文化遗存保护投诉举报制度，公布投诉举报电话和信箱，依法受理投诉举报，及时查处违法行为。</w:t>
      </w:r>
    </w:p>
    <w:p w14:paraId="4987ABE5">
      <w:pPr>
        <w:autoSpaceDE w:val="0"/>
        <w:adjustRightInd w:val="0"/>
        <w:snapToGrid w:val="0"/>
        <w:spacing w:line="560" w:lineRule="exact"/>
        <w:ind w:firstLine="640" w:firstLineChars="200"/>
        <w:rPr>
          <w:rFonts w:hint="eastAsia" w:ascii="仿宋" w:hAnsi="仿宋" w:cs="仿宋"/>
          <w:sz w:val="21"/>
          <w:szCs w:val="21"/>
          <w:lang w:val="en-US" w:eastAsia="zh-CN"/>
        </w:rPr>
      </w:pPr>
      <w:r>
        <w:rPr>
          <w:rFonts w:hint="eastAsia" w:ascii="黑体" w:hAnsi="黑体" w:eastAsia="黑体"/>
          <w:color w:val="000000"/>
          <w:lang w:val="en-US" w:eastAsia="zh-CN"/>
        </w:rPr>
        <w:t>第十一条【表彰奖励】</w:t>
      </w:r>
      <w:r>
        <w:rPr>
          <w:rFonts w:hint="eastAsia" w:ascii="仿宋" w:hAnsi="仿宋" w:eastAsia="仿宋" w:cs="仿宋"/>
          <w:color w:val="000000"/>
          <w:lang w:val="en-US" w:eastAsia="zh-CN"/>
        </w:rPr>
        <w:t>市、县（市、区）人民政府对在红色文化遗存保护</w:t>
      </w:r>
      <w:r>
        <w:rPr>
          <w:rFonts w:hint="eastAsia" w:ascii="仿宋" w:hAnsi="仿宋" w:cs="仿宋"/>
          <w:color w:val="000000"/>
          <w:lang w:val="en-US" w:eastAsia="zh-CN"/>
        </w:rPr>
        <w:t>传承</w:t>
      </w:r>
      <w:r>
        <w:rPr>
          <w:rFonts w:hint="eastAsia" w:ascii="仿宋" w:hAnsi="仿宋" w:eastAsia="仿宋" w:cs="仿宋"/>
          <w:color w:val="000000"/>
          <w:lang w:val="en-US" w:eastAsia="zh-CN"/>
        </w:rPr>
        <w:t>利用工作中作出突出贡献的单位和个人，按照有关规定给予表彰、奖励。</w:t>
      </w:r>
    </w:p>
    <w:p w14:paraId="4E2E4D0A">
      <w:pPr>
        <w:autoSpaceDE w:val="0"/>
        <w:adjustRightInd w:val="0"/>
        <w:snapToGrid w:val="0"/>
        <w:spacing w:line="560" w:lineRule="exact"/>
        <w:ind w:firstLine="640" w:firstLineChars="200"/>
        <w:rPr>
          <w:rFonts w:hint="default" w:ascii="仿宋" w:hAnsi="仿宋" w:cs="仿宋"/>
          <w:bCs/>
          <w:color w:val="000000"/>
          <w:highlight w:val="yellow"/>
          <w:lang w:val="en-US" w:eastAsia="zh-CN"/>
        </w:rPr>
      </w:pPr>
    </w:p>
    <w:p w14:paraId="2FA8D8E6">
      <w:pPr>
        <w:numPr>
          <w:ilvl w:val="0"/>
          <w:numId w:val="0"/>
        </w:numPr>
        <w:autoSpaceDE w:val="0"/>
        <w:adjustRightInd w:val="0"/>
        <w:snapToGrid w:val="0"/>
        <w:spacing w:before="156" w:beforeLines="50" w:after="156" w:afterLines="50" w:line="560" w:lineRule="exact"/>
        <w:ind w:left="0" w:leftChars="0" w:firstLine="0" w:firstLineChars="0"/>
        <w:jc w:val="center"/>
        <w:rPr>
          <w:rFonts w:ascii="仿宋_GB2312" w:hAnsi="仿宋_GB2312"/>
          <w:bCs/>
          <w:color w:val="000000"/>
        </w:rPr>
      </w:pPr>
      <w:r>
        <w:rPr>
          <w:rFonts w:hint="eastAsia" w:ascii="黑体" w:hAnsi="黑体" w:eastAsia="黑体" w:cs="Times New Roman"/>
          <w:b w:val="0"/>
          <w:bCs w:val="0"/>
          <w:color w:val="000000"/>
          <w:kern w:val="2"/>
          <w:sz w:val="32"/>
          <w:szCs w:val="32"/>
          <w:lang w:val="en-US" w:eastAsia="zh-CN" w:bidi="ar-SA"/>
        </w:rPr>
        <w:t>第二章</w:t>
      </w:r>
      <w:r>
        <w:rPr>
          <w:rFonts w:hint="eastAsia" w:ascii="黑体" w:hAnsi="黑体" w:eastAsia="黑体"/>
          <w:color w:val="000000"/>
          <w:lang w:val="en-US" w:eastAsia="zh-CN"/>
        </w:rPr>
        <w:t xml:space="preserve">  </w:t>
      </w:r>
      <w:r>
        <w:rPr>
          <w:rFonts w:hint="eastAsia" w:ascii="黑体" w:hAnsi="黑体" w:eastAsia="黑体"/>
          <w:color w:val="000000"/>
        </w:rPr>
        <w:t>保护管理</w:t>
      </w:r>
    </w:p>
    <w:p w14:paraId="48326BFE">
      <w:pPr>
        <w:autoSpaceDE w:val="0"/>
        <w:adjustRightInd w:val="0"/>
        <w:snapToGrid w:val="0"/>
        <w:spacing w:line="560" w:lineRule="exact"/>
        <w:ind w:firstLine="640" w:firstLineChars="200"/>
        <w:rPr>
          <w:rFonts w:hint="eastAsia" w:ascii="仿宋" w:hAnsi="仿宋" w:eastAsia="仿宋" w:cs="仿宋"/>
          <w:bCs/>
          <w:color w:val="000000"/>
          <w:lang w:eastAsia="zh-CN"/>
        </w:rPr>
      </w:pPr>
      <w:r>
        <w:rPr>
          <w:rFonts w:hint="eastAsia" w:ascii="黑体" w:hAnsi="黑体" w:eastAsia="黑体"/>
          <w:bCs/>
          <w:color w:val="000000"/>
        </w:rPr>
        <w:t>第</w:t>
      </w:r>
      <w:r>
        <w:rPr>
          <w:rFonts w:hint="eastAsia" w:ascii="黑体" w:hAnsi="黑体" w:eastAsia="黑体"/>
          <w:bCs/>
          <w:color w:val="000000"/>
          <w:lang w:val="en-US" w:eastAsia="zh-CN"/>
        </w:rPr>
        <w:t>十二</w:t>
      </w:r>
      <w:r>
        <w:rPr>
          <w:rFonts w:hint="eastAsia" w:ascii="黑体" w:hAnsi="黑体" w:eastAsia="黑体"/>
          <w:bCs/>
          <w:color w:val="000000"/>
        </w:rPr>
        <w:t>条</w:t>
      </w:r>
      <w:r>
        <w:rPr>
          <w:rFonts w:hint="eastAsia" w:ascii="黑体" w:hAnsi="黑体" w:eastAsia="黑体"/>
          <w:bCs/>
          <w:color w:val="000000"/>
          <w:lang w:eastAsia="zh-CN"/>
        </w:rPr>
        <w:t>【</w:t>
      </w:r>
      <w:r>
        <w:rPr>
          <w:rFonts w:hint="eastAsia" w:ascii="黑体" w:hAnsi="黑体" w:eastAsia="黑体"/>
          <w:bCs/>
          <w:color w:val="000000"/>
          <w:lang w:val="en-US" w:eastAsia="zh-CN"/>
        </w:rPr>
        <w:t>专项规划</w:t>
      </w:r>
      <w:r>
        <w:rPr>
          <w:rFonts w:hint="eastAsia" w:ascii="黑体" w:hAnsi="黑体" w:eastAsia="黑体"/>
          <w:bCs/>
          <w:color w:val="000000"/>
          <w:lang w:eastAsia="zh-CN"/>
        </w:rPr>
        <w:t>】</w:t>
      </w:r>
      <w:r>
        <w:rPr>
          <w:rFonts w:hint="eastAsia" w:ascii="仿宋" w:hAnsi="仿宋" w:eastAsia="仿宋" w:cs="仿宋"/>
          <w:bCs/>
          <w:color w:val="000000"/>
          <w:lang w:eastAsia="zh-CN"/>
        </w:rPr>
        <w:t>市、县（市、区）</w:t>
      </w:r>
      <w:r>
        <w:rPr>
          <w:rFonts w:hint="eastAsia" w:ascii="仿宋" w:hAnsi="仿宋" w:eastAsia="仿宋" w:cs="仿宋"/>
          <w:bCs/>
          <w:color w:val="000000"/>
          <w:lang w:val="en-US" w:eastAsia="zh-CN"/>
        </w:rPr>
        <w:t>文物行政</w:t>
      </w:r>
      <w:r>
        <w:rPr>
          <w:rFonts w:hint="eastAsia" w:ascii="仿宋" w:hAnsi="仿宋" w:eastAsia="仿宋" w:cs="仿宋"/>
          <w:bCs/>
          <w:color w:val="000000"/>
          <w:lang w:eastAsia="zh-CN"/>
        </w:rPr>
        <w:t>主管部门应当会同退役军人事务、党史、</w:t>
      </w:r>
      <w:r>
        <w:rPr>
          <w:rFonts w:hint="eastAsia" w:ascii="仿宋" w:hAnsi="仿宋" w:eastAsia="仿宋" w:cs="仿宋"/>
          <w:bCs/>
          <w:color w:val="000000"/>
          <w:lang w:val="en-US" w:eastAsia="zh-CN"/>
        </w:rPr>
        <w:t>地方志</w:t>
      </w:r>
      <w:r>
        <w:rPr>
          <w:rFonts w:hint="eastAsia" w:ascii="仿宋" w:hAnsi="仿宋" w:eastAsia="仿宋" w:cs="仿宋"/>
          <w:bCs/>
          <w:color w:val="000000"/>
          <w:lang w:eastAsia="zh-CN"/>
        </w:rPr>
        <w:t>等部门</w:t>
      </w:r>
      <w:r>
        <w:rPr>
          <w:rFonts w:hint="eastAsia" w:ascii="仿宋" w:hAnsi="仿宋" w:cs="仿宋"/>
          <w:bCs/>
          <w:color w:val="000000"/>
          <w:lang w:val="en-US" w:eastAsia="zh-CN"/>
        </w:rPr>
        <w:t>或工作机构编制</w:t>
      </w:r>
      <w:r>
        <w:rPr>
          <w:rFonts w:hint="eastAsia" w:ascii="仿宋" w:hAnsi="仿宋" w:eastAsia="仿宋" w:cs="仿宋"/>
          <w:bCs/>
          <w:color w:val="000000"/>
          <w:lang w:eastAsia="zh-CN"/>
        </w:rPr>
        <w:t>红色文化遗存保护</w:t>
      </w:r>
      <w:r>
        <w:rPr>
          <w:rFonts w:hint="eastAsia" w:ascii="仿宋" w:hAnsi="仿宋" w:cs="仿宋"/>
          <w:bCs/>
          <w:color w:val="000000"/>
          <w:lang w:val="en-US" w:eastAsia="zh-CN"/>
        </w:rPr>
        <w:t>传承</w:t>
      </w:r>
      <w:r>
        <w:rPr>
          <w:rFonts w:hint="eastAsia" w:ascii="仿宋" w:hAnsi="仿宋" w:eastAsia="仿宋" w:cs="仿宋"/>
          <w:bCs/>
          <w:color w:val="000000"/>
          <w:lang w:eastAsia="zh-CN"/>
        </w:rPr>
        <w:t>利用专项规划，经本级人民政府批准后实施。</w:t>
      </w:r>
    </w:p>
    <w:p w14:paraId="3C3AE80B">
      <w:pPr>
        <w:autoSpaceDE w:val="0"/>
        <w:adjustRightInd w:val="0"/>
        <w:snapToGrid w:val="0"/>
        <w:spacing w:line="560" w:lineRule="exact"/>
        <w:ind w:firstLine="640" w:firstLineChars="200"/>
        <w:rPr>
          <w:rFonts w:hint="eastAsia" w:ascii="仿宋" w:hAnsi="仿宋" w:cs="仿宋"/>
          <w:sz w:val="21"/>
          <w:szCs w:val="21"/>
          <w:lang w:val="en-US" w:eastAsia="zh-CN"/>
        </w:rPr>
      </w:pPr>
      <w:r>
        <w:rPr>
          <w:rFonts w:hint="eastAsia" w:ascii="仿宋" w:hAnsi="仿宋" w:eastAsia="仿宋" w:cs="仿宋"/>
          <w:bCs/>
          <w:color w:val="000000"/>
          <w:lang w:eastAsia="zh-CN"/>
        </w:rPr>
        <w:t>红色文化资源保护</w:t>
      </w:r>
      <w:r>
        <w:rPr>
          <w:rFonts w:hint="eastAsia" w:ascii="仿宋" w:hAnsi="仿宋" w:cs="仿宋"/>
          <w:bCs/>
          <w:color w:val="000000"/>
          <w:lang w:val="en-US" w:eastAsia="zh-CN"/>
        </w:rPr>
        <w:t>传承</w:t>
      </w:r>
      <w:r>
        <w:rPr>
          <w:rFonts w:hint="eastAsia" w:ascii="仿宋" w:hAnsi="仿宋" w:eastAsia="仿宋" w:cs="仿宋"/>
          <w:bCs/>
          <w:color w:val="000000"/>
          <w:lang w:eastAsia="zh-CN"/>
        </w:rPr>
        <w:t>利用专项规划与国土空间规划</w:t>
      </w:r>
      <w:r>
        <w:rPr>
          <w:rFonts w:hint="eastAsia" w:ascii="仿宋" w:hAnsi="仿宋" w:cs="仿宋"/>
          <w:bCs/>
          <w:color w:val="000000"/>
          <w:lang w:eastAsia="zh-CN"/>
        </w:rPr>
        <w:t>、</w:t>
      </w:r>
      <w:r>
        <w:rPr>
          <w:rFonts w:hint="eastAsia" w:ascii="仿宋" w:hAnsi="仿宋" w:eastAsia="仿宋" w:cs="仿宋"/>
          <w:bCs/>
          <w:color w:val="000000"/>
          <w:lang w:eastAsia="zh-CN"/>
        </w:rPr>
        <w:t>生态环境保护规划、旅游产业发展规划应当</w:t>
      </w:r>
      <w:r>
        <w:rPr>
          <w:rFonts w:hint="eastAsia" w:ascii="仿宋" w:hAnsi="仿宋" w:cs="仿宋"/>
          <w:bCs/>
          <w:color w:val="000000"/>
          <w:lang w:val="en-US" w:eastAsia="zh-CN"/>
        </w:rPr>
        <w:t>相互</w:t>
      </w:r>
      <w:r>
        <w:rPr>
          <w:rFonts w:hint="eastAsia" w:ascii="仿宋" w:hAnsi="仿宋" w:eastAsia="仿宋" w:cs="仿宋"/>
          <w:bCs/>
          <w:color w:val="000000"/>
          <w:lang w:eastAsia="zh-CN"/>
        </w:rPr>
        <w:t>衔接。</w:t>
      </w:r>
    </w:p>
    <w:p w14:paraId="1379895D">
      <w:pPr>
        <w:autoSpaceDE w:val="0"/>
        <w:adjustRightInd w:val="0"/>
        <w:snapToGrid w:val="0"/>
        <w:spacing w:line="560" w:lineRule="exact"/>
        <w:ind w:firstLine="640" w:firstLineChars="200"/>
        <w:rPr>
          <w:rFonts w:hint="eastAsia" w:ascii="仿宋_GB2312" w:hAnsi="仿宋_GB2312"/>
          <w:color w:val="000000"/>
        </w:rPr>
      </w:pPr>
      <w:r>
        <w:rPr>
          <w:rFonts w:hint="eastAsia" w:ascii="黑体" w:hAnsi="黑体" w:eastAsia="黑体"/>
          <w:bCs/>
          <w:color w:val="000000"/>
          <w:lang w:val="en-US" w:eastAsia="zh-CN"/>
        </w:rPr>
        <w:t>第十三条</w:t>
      </w:r>
      <w:r>
        <w:rPr>
          <w:rFonts w:hint="eastAsia" w:ascii="黑体" w:hAnsi="黑体" w:eastAsia="黑体"/>
          <w:bCs/>
          <w:color w:val="000000"/>
          <w:lang w:eastAsia="zh-CN"/>
        </w:rPr>
        <w:t>【</w:t>
      </w:r>
      <w:r>
        <w:rPr>
          <w:rFonts w:hint="eastAsia" w:ascii="黑体" w:hAnsi="黑体" w:eastAsia="黑体"/>
          <w:bCs/>
          <w:color w:val="000000"/>
          <w:lang w:val="en-US" w:eastAsia="zh-CN"/>
        </w:rPr>
        <w:t>普查调查</w:t>
      </w:r>
      <w:r>
        <w:rPr>
          <w:rFonts w:hint="eastAsia" w:ascii="黑体" w:hAnsi="黑体" w:eastAsia="黑体"/>
          <w:bCs/>
          <w:color w:val="000000"/>
          <w:lang w:eastAsia="zh-CN"/>
        </w:rPr>
        <w:t>】</w:t>
      </w:r>
      <w:r>
        <w:rPr>
          <w:rFonts w:hint="eastAsia" w:ascii="仿宋_GB2312" w:hAnsi="仿宋_GB2312"/>
          <w:color w:val="000000"/>
        </w:rPr>
        <w:t>市、县（市、区）文物行政主管部门应当组织开展红色文化遗存普查、定期排查和专项调查，建立普查、调查档案和数据库。</w:t>
      </w:r>
    </w:p>
    <w:p w14:paraId="78A136EA">
      <w:pPr>
        <w:autoSpaceDE w:val="0"/>
        <w:adjustRightInd w:val="0"/>
        <w:snapToGrid w:val="0"/>
        <w:spacing w:line="560" w:lineRule="exact"/>
        <w:ind w:firstLine="640" w:firstLineChars="200"/>
        <w:rPr>
          <w:rFonts w:hint="eastAsia" w:ascii="仿宋" w:hAnsi="仿宋" w:cs="仿宋"/>
          <w:color w:val="000000"/>
          <w:sz w:val="21"/>
          <w:szCs w:val="21"/>
          <w:lang w:eastAsia="zh-CN"/>
        </w:rPr>
      </w:pPr>
      <w:r>
        <w:rPr>
          <w:rFonts w:hint="eastAsia" w:ascii="仿宋_GB2312" w:hAnsi="仿宋_GB2312"/>
          <w:color w:val="000000"/>
        </w:rPr>
        <w:t>对普查中发现存在重大险情的红色文化遗存，应当及时开展抢救性保护和修复；对新发现的红色文化遗存，应当依照本条例及时予以认定并纳入保护管理范围。</w:t>
      </w:r>
    </w:p>
    <w:p w14:paraId="521FFE1F">
      <w:pPr>
        <w:autoSpaceDE w:val="0"/>
        <w:adjustRightInd w:val="0"/>
        <w:snapToGrid w:val="0"/>
        <w:spacing w:line="560" w:lineRule="exact"/>
        <w:ind w:firstLine="640" w:firstLineChars="200"/>
        <w:rPr>
          <w:rFonts w:hint="eastAsia" w:ascii="仿宋" w:hAnsi="仿宋" w:eastAsia="仿宋" w:cs="仿宋"/>
          <w:kern w:val="0"/>
          <w:lang w:eastAsia="zh-CN"/>
        </w:rPr>
      </w:pPr>
      <w:r>
        <w:rPr>
          <w:rFonts w:hint="eastAsia" w:ascii="黑体" w:hAnsi="黑体" w:eastAsia="黑体"/>
          <w:kern w:val="0"/>
        </w:rPr>
        <w:t>第十</w:t>
      </w:r>
      <w:r>
        <w:rPr>
          <w:rFonts w:hint="eastAsia" w:ascii="黑体" w:hAnsi="黑体" w:eastAsia="黑体"/>
          <w:kern w:val="0"/>
          <w:lang w:val="en-US" w:eastAsia="zh-CN"/>
        </w:rPr>
        <w:t>四</w:t>
      </w:r>
      <w:r>
        <w:rPr>
          <w:rFonts w:hint="eastAsia" w:ascii="黑体" w:hAnsi="黑体" w:eastAsia="黑体"/>
          <w:kern w:val="0"/>
        </w:rPr>
        <w:t>条</w:t>
      </w:r>
      <w:r>
        <w:rPr>
          <w:rFonts w:hint="eastAsia" w:ascii="黑体" w:hAnsi="黑体" w:eastAsia="黑体"/>
          <w:kern w:val="0"/>
          <w:lang w:eastAsia="zh-CN"/>
        </w:rPr>
        <w:t>【</w:t>
      </w:r>
      <w:r>
        <w:rPr>
          <w:rFonts w:hint="eastAsia" w:ascii="黑体" w:hAnsi="黑体" w:eastAsia="黑体"/>
          <w:kern w:val="0"/>
          <w:lang w:val="en-US" w:eastAsia="zh-CN"/>
        </w:rPr>
        <w:t>认定制度</w:t>
      </w:r>
      <w:r>
        <w:rPr>
          <w:rFonts w:hint="eastAsia" w:ascii="黑体" w:hAnsi="黑体" w:eastAsia="黑体"/>
          <w:kern w:val="0"/>
          <w:lang w:eastAsia="zh-CN"/>
        </w:rPr>
        <w:t>】</w:t>
      </w:r>
      <w:r>
        <w:rPr>
          <w:rFonts w:hint="eastAsia" w:ascii="仿宋" w:hAnsi="仿宋" w:eastAsia="仿宋" w:cs="仿宋"/>
          <w:kern w:val="0"/>
          <w:lang w:eastAsia="zh-CN"/>
        </w:rPr>
        <w:t>红色文化遗存实行认定制度。</w:t>
      </w:r>
      <w:r>
        <w:rPr>
          <w:rFonts w:hint="eastAsia" w:ascii="仿宋" w:hAnsi="仿宋" w:eastAsia="仿宋" w:cs="仿宋"/>
          <w:kern w:val="0"/>
          <w:lang w:val="en-US" w:eastAsia="zh-CN"/>
        </w:rPr>
        <w:t>市、县（市、区）</w:t>
      </w:r>
      <w:r>
        <w:rPr>
          <w:rFonts w:hint="eastAsia" w:ascii="仿宋" w:hAnsi="仿宋" w:eastAsia="仿宋" w:cs="仿宋"/>
          <w:kern w:val="0"/>
          <w:lang w:eastAsia="zh-CN"/>
        </w:rPr>
        <w:t>文物行政主管部门组织开展本行政区域内的红色文化遗存认定工作。</w:t>
      </w:r>
    </w:p>
    <w:p w14:paraId="4742445C">
      <w:pPr>
        <w:autoSpaceDE w:val="0"/>
        <w:adjustRightInd w:val="0"/>
        <w:snapToGrid w:val="0"/>
        <w:spacing w:line="560" w:lineRule="exact"/>
        <w:ind w:firstLine="640" w:firstLineChars="200"/>
        <w:rPr>
          <w:rFonts w:hint="eastAsia" w:ascii="仿宋" w:hAnsi="仿宋" w:cs="仿宋"/>
          <w:color w:val="000000"/>
          <w:sz w:val="21"/>
          <w:szCs w:val="21"/>
          <w:lang w:eastAsia="zh-CN"/>
        </w:rPr>
      </w:pPr>
      <w:r>
        <w:rPr>
          <w:rFonts w:hint="eastAsia" w:ascii="仿宋" w:hAnsi="仿宋" w:eastAsia="仿宋" w:cs="仿宋"/>
          <w:kern w:val="0"/>
          <w:lang w:eastAsia="zh-CN"/>
        </w:rPr>
        <w:t>市文物行政主管部门应当会同退役军人事务、党史、地方志等部门或工作机构，制定全市红色</w:t>
      </w:r>
      <w:r>
        <w:rPr>
          <w:rFonts w:hint="eastAsia" w:ascii="仿宋" w:hAnsi="仿宋" w:eastAsia="仿宋" w:cs="仿宋"/>
          <w:kern w:val="0"/>
          <w:lang w:val="en-US" w:eastAsia="zh-CN"/>
        </w:rPr>
        <w:t>文化遗存</w:t>
      </w:r>
      <w:r>
        <w:rPr>
          <w:rFonts w:hint="eastAsia" w:ascii="仿宋" w:hAnsi="仿宋" w:eastAsia="仿宋" w:cs="仿宋"/>
          <w:kern w:val="0"/>
          <w:lang w:eastAsia="zh-CN"/>
        </w:rPr>
        <w:t>分类分级认定标准和认定程序，报市人民政府批准</w:t>
      </w:r>
      <w:r>
        <w:rPr>
          <w:rFonts w:hint="eastAsia" w:ascii="仿宋" w:hAnsi="仿宋" w:eastAsia="仿宋" w:cs="仿宋"/>
          <w:kern w:val="0"/>
          <w:lang w:val="en-US" w:eastAsia="zh-CN"/>
        </w:rPr>
        <w:t>后实施</w:t>
      </w:r>
      <w:r>
        <w:rPr>
          <w:rFonts w:hint="eastAsia" w:ascii="仿宋" w:hAnsi="仿宋" w:eastAsia="仿宋" w:cs="仿宋"/>
          <w:kern w:val="0"/>
          <w:lang w:eastAsia="zh-CN"/>
        </w:rPr>
        <w:t>。</w:t>
      </w:r>
    </w:p>
    <w:p w14:paraId="4B8CB538">
      <w:pPr>
        <w:autoSpaceDE w:val="0"/>
        <w:adjustRightInd w:val="0"/>
        <w:snapToGrid w:val="0"/>
        <w:spacing w:line="560" w:lineRule="exact"/>
        <w:ind w:firstLine="640" w:firstLineChars="200"/>
        <w:rPr>
          <w:rFonts w:hint="eastAsia" w:ascii="仿宋" w:hAnsi="仿宋" w:eastAsia="仿宋" w:cs="仿宋"/>
          <w:color w:val="000000"/>
          <w:lang w:val="en-US" w:eastAsia="zh-CN"/>
        </w:rPr>
      </w:pPr>
      <w:r>
        <w:rPr>
          <w:rFonts w:hint="eastAsia" w:ascii="黑体" w:hAnsi="黑体" w:eastAsia="黑体"/>
          <w:color w:val="000000"/>
          <w:lang w:val="en-US" w:eastAsia="zh-CN"/>
        </w:rPr>
        <w:t>第十五条【保护名录制度】</w:t>
      </w:r>
      <w:r>
        <w:rPr>
          <w:rFonts w:hint="eastAsia" w:ascii="仿宋" w:hAnsi="仿宋" w:eastAsia="仿宋" w:cs="仿宋"/>
          <w:color w:val="000000"/>
          <w:lang w:val="en-US" w:eastAsia="zh-CN"/>
        </w:rPr>
        <w:t>红色文化遗存实行名录管理制度。市、县（市、区）文物行政主管部门应当会同有关部门根据普查、调查结果，拟定本级红色文化遗存保护名录，报经本级人民政府核定后，向社会公布。</w:t>
      </w:r>
    </w:p>
    <w:p w14:paraId="663FEFB0">
      <w:pPr>
        <w:autoSpaceDE w:val="0"/>
        <w:adjustRightInd w:val="0"/>
        <w:snapToGrid w:val="0"/>
        <w:spacing w:line="560" w:lineRule="exact"/>
        <w:ind w:firstLine="640" w:firstLineChars="200"/>
        <w:rPr>
          <w:rFonts w:hint="eastAsia" w:ascii="仿宋" w:hAnsi="仿宋" w:cs="仿宋"/>
          <w:color w:val="000000"/>
          <w:sz w:val="21"/>
          <w:szCs w:val="21"/>
          <w:lang w:val="en-US" w:eastAsia="zh-CN"/>
        </w:rPr>
      </w:pPr>
      <w:r>
        <w:rPr>
          <w:rFonts w:hint="eastAsia" w:ascii="仿宋" w:hAnsi="仿宋" w:eastAsia="仿宋" w:cs="仿宋"/>
          <w:color w:val="000000"/>
          <w:lang w:val="en-US" w:eastAsia="zh-CN"/>
        </w:rPr>
        <w:t>红色文化遗存保护名录实行动态管理。对新发现和认定的红色文化遗存，应当及时列入保护名录。</w:t>
      </w:r>
    </w:p>
    <w:p w14:paraId="18728692">
      <w:pPr>
        <w:autoSpaceDE w:val="0"/>
        <w:adjustRightInd w:val="0"/>
        <w:snapToGrid w:val="0"/>
        <w:spacing w:line="560" w:lineRule="exact"/>
        <w:ind w:firstLine="640" w:firstLineChars="200"/>
        <w:rPr>
          <w:rFonts w:hint="eastAsia" w:ascii="仿宋" w:hAnsi="仿宋" w:eastAsia="仿宋" w:cs="仿宋"/>
          <w:color w:val="000000"/>
          <w:lang w:val="en-US" w:eastAsia="zh-CN"/>
        </w:rPr>
      </w:pPr>
      <w:r>
        <w:rPr>
          <w:rFonts w:hint="eastAsia" w:ascii="黑体" w:hAnsi="黑体" w:eastAsia="黑体"/>
          <w:color w:val="000000"/>
          <w:lang w:val="en-US" w:eastAsia="zh-CN"/>
        </w:rPr>
        <w:t>第十六条【平台建设】</w:t>
      </w:r>
      <w:r>
        <w:rPr>
          <w:rFonts w:hint="eastAsia" w:ascii="仿宋" w:hAnsi="仿宋" w:eastAsia="仿宋" w:cs="仿宋"/>
          <w:color w:val="000000"/>
          <w:lang w:val="en-US" w:eastAsia="zh-CN"/>
        </w:rPr>
        <w:t>市、县（市、区）人民政府应当建立红色文化遗存数据库，建设统一共享的数据开放平台，推进共建共享。</w:t>
      </w:r>
    </w:p>
    <w:p w14:paraId="1DF5E478">
      <w:pPr>
        <w:autoSpaceDE w:val="0"/>
        <w:adjustRightInd w:val="0"/>
        <w:snapToGrid w:val="0"/>
        <w:spacing w:line="560" w:lineRule="exact"/>
        <w:ind w:firstLine="640" w:firstLineChars="200"/>
        <w:rPr>
          <w:rFonts w:hint="eastAsia" w:ascii="仿宋" w:hAnsi="仿宋" w:cs="仿宋"/>
          <w:color w:val="000000"/>
          <w:sz w:val="21"/>
          <w:szCs w:val="21"/>
          <w:lang w:val="en-US" w:eastAsia="zh-CN"/>
        </w:rPr>
      </w:pPr>
      <w:r>
        <w:rPr>
          <w:rFonts w:hint="eastAsia" w:ascii="仿宋" w:hAnsi="仿宋" w:eastAsia="仿宋" w:cs="仿宋"/>
          <w:color w:val="000000"/>
          <w:lang w:val="en-US" w:eastAsia="zh-CN"/>
        </w:rPr>
        <w:t>除依法应当保密的外，红色文化遗存档案和相关数据信息应当公开，便于公众查阅。</w:t>
      </w:r>
    </w:p>
    <w:p w14:paraId="41919C32">
      <w:pPr>
        <w:autoSpaceDE w:val="0"/>
        <w:adjustRightInd w:val="0"/>
        <w:snapToGrid w:val="0"/>
        <w:spacing w:line="560" w:lineRule="exact"/>
        <w:ind w:firstLine="640" w:firstLineChars="200"/>
        <w:rPr>
          <w:rFonts w:hint="eastAsia" w:ascii="仿宋" w:hAnsi="仿宋" w:eastAsia="仿宋" w:cs="仿宋"/>
          <w:color w:val="000000"/>
          <w:lang w:val="en-US" w:eastAsia="zh-CN"/>
        </w:rPr>
      </w:pPr>
      <w:r>
        <w:rPr>
          <w:rFonts w:hint="eastAsia" w:ascii="黑体" w:hAnsi="黑体" w:eastAsia="黑体"/>
          <w:color w:val="000000"/>
          <w:lang w:val="en-US" w:eastAsia="zh-CN"/>
        </w:rPr>
        <w:t>第十七条【原址保护】</w:t>
      </w:r>
      <w:r>
        <w:rPr>
          <w:rFonts w:hint="eastAsia" w:ascii="仿宋" w:hAnsi="仿宋" w:eastAsia="仿宋" w:cs="仿宋"/>
          <w:color w:val="000000"/>
          <w:lang w:val="en-US" w:eastAsia="zh-CN"/>
        </w:rPr>
        <w:t>不可移动的红色文化遗存实施原址保护。任何单位和个人不得擅自迁移、拆除，不得擅自改变主体结构和外观，不得危害其安全。</w:t>
      </w:r>
    </w:p>
    <w:p w14:paraId="0126D74D">
      <w:pPr>
        <w:autoSpaceDE w:val="0"/>
        <w:adjustRightInd w:val="0"/>
        <w:snapToGrid w:val="0"/>
        <w:spacing w:line="560" w:lineRule="exact"/>
        <w:ind w:firstLine="640" w:firstLineChars="200"/>
        <w:rPr>
          <w:rFonts w:hint="eastAsia" w:ascii="仿宋" w:hAnsi="仿宋" w:eastAsia="仿宋" w:cs="仿宋"/>
          <w:color w:val="000000"/>
          <w:lang w:val="en-US" w:eastAsia="zh-CN"/>
        </w:rPr>
      </w:pPr>
      <w:r>
        <w:rPr>
          <w:rFonts w:hint="eastAsia" w:ascii="仿宋" w:hAnsi="仿宋" w:eastAsia="仿宋" w:cs="仿宋"/>
          <w:color w:val="000000"/>
          <w:lang w:val="en-US" w:eastAsia="zh-CN"/>
        </w:rPr>
        <w:t>因自然灾害、公共利益等特殊情况确实无法实施原址保护，需要实施迁移异地保护的，应当符合国家有关规定。</w:t>
      </w:r>
    </w:p>
    <w:p w14:paraId="06097E81">
      <w:pPr>
        <w:autoSpaceDE w:val="0"/>
        <w:adjustRightInd w:val="0"/>
        <w:snapToGrid w:val="0"/>
        <w:spacing w:line="560" w:lineRule="exact"/>
        <w:ind w:firstLine="640" w:firstLineChars="200"/>
        <w:rPr>
          <w:rFonts w:hint="eastAsia" w:ascii="仿宋" w:hAnsi="仿宋" w:cs="仿宋"/>
          <w:color w:val="000000"/>
          <w:sz w:val="21"/>
          <w:szCs w:val="21"/>
          <w:lang w:eastAsia="zh-CN"/>
        </w:rPr>
      </w:pPr>
      <w:r>
        <w:rPr>
          <w:rFonts w:hint="eastAsia" w:ascii="仿宋" w:hAnsi="仿宋" w:eastAsia="仿宋" w:cs="仿宋"/>
          <w:color w:val="000000"/>
          <w:lang w:val="en-US" w:eastAsia="zh-CN"/>
        </w:rPr>
        <w:t>可移动的红色文化遗存有条件的实施原址保护。不具备原址保护条件的，参照文物保护的相关规定，实施保护管理。</w:t>
      </w:r>
    </w:p>
    <w:p w14:paraId="58CC1921">
      <w:pPr>
        <w:autoSpaceDE w:val="0"/>
        <w:adjustRightInd w:val="0"/>
        <w:snapToGrid w:val="0"/>
        <w:spacing w:line="560" w:lineRule="exact"/>
        <w:ind w:firstLine="640" w:firstLineChars="200"/>
        <w:rPr>
          <w:rFonts w:hint="eastAsia" w:ascii="仿宋" w:hAnsi="仿宋" w:eastAsia="仿宋" w:cs="仿宋"/>
          <w:color w:val="000000"/>
          <w:lang w:val="en-US" w:eastAsia="zh-CN"/>
        </w:rPr>
      </w:pPr>
      <w:r>
        <w:rPr>
          <w:rFonts w:hint="eastAsia" w:ascii="黑体" w:hAnsi="黑体" w:eastAsia="黑体"/>
          <w:color w:val="000000"/>
          <w:lang w:val="en-US" w:eastAsia="zh-CN"/>
        </w:rPr>
        <w:t>第十八条【保护管理责任人制度】</w:t>
      </w:r>
      <w:r>
        <w:rPr>
          <w:rFonts w:hint="eastAsia" w:ascii="仿宋" w:hAnsi="仿宋" w:eastAsia="仿宋" w:cs="仿宋"/>
          <w:color w:val="000000"/>
          <w:lang w:val="en-US" w:eastAsia="zh-CN"/>
        </w:rPr>
        <w:t>红色文化遗存实行保护</w:t>
      </w:r>
      <w:r>
        <w:rPr>
          <w:rFonts w:hint="eastAsia" w:ascii="仿宋" w:hAnsi="仿宋" w:cs="仿宋"/>
          <w:color w:val="000000"/>
          <w:lang w:val="en-US" w:eastAsia="zh-CN"/>
        </w:rPr>
        <w:t>管理</w:t>
      </w:r>
      <w:r>
        <w:rPr>
          <w:rFonts w:hint="eastAsia" w:ascii="仿宋" w:hAnsi="仿宋" w:eastAsia="仿宋" w:cs="仿宋"/>
          <w:color w:val="000000"/>
          <w:lang w:val="en-US" w:eastAsia="zh-CN"/>
        </w:rPr>
        <w:t>责任人制度。保护管理责任人按照下列规定确定：</w:t>
      </w:r>
    </w:p>
    <w:p w14:paraId="421B54A5">
      <w:pPr>
        <w:autoSpaceDE w:val="0"/>
        <w:adjustRightInd w:val="0"/>
        <w:snapToGrid w:val="0"/>
        <w:spacing w:line="560" w:lineRule="exact"/>
        <w:ind w:firstLine="640" w:firstLineChars="200"/>
        <w:rPr>
          <w:rFonts w:hint="eastAsia" w:ascii="仿宋" w:hAnsi="仿宋" w:eastAsia="仿宋" w:cs="仿宋"/>
          <w:color w:val="000000"/>
          <w:lang w:val="en-US" w:eastAsia="zh-CN"/>
        </w:rPr>
      </w:pPr>
      <w:r>
        <w:rPr>
          <w:rFonts w:hint="eastAsia" w:ascii="仿宋" w:hAnsi="仿宋" w:eastAsia="仿宋" w:cs="仿宋"/>
          <w:color w:val="000000"/>
          <w:lang w:val="en-US" w:eastAsia="zh-CN"/>
        </w:rPr>
        <w:t>（一）国有不可移动红色文化遗存，使用人或者管理人为保护管理责任人;</w:t>
      </w:r>
    </w:p>
    <w:p w14:paraId="1214D57F">
      <w:pPr>
        <w:autoSpaceDE w:val="0"/>
        <w:adjustRightInd w:val="0"/>
        <w:snapToGrid w:val="0"/>
        <w:spacing w:line="560" w:lineRule="exact"/>
        <w:ind w:firstLine="640" w:firstLineChars="200"/>
        <w:rPr>
          <w:rFonts w:hint="eastAsia" w:ascii="仿宋" w:hAnsi="仿宋" w:eastAsia="仿宋" w:cs="仿宋"/>
          <w:color w:val="000000"/>
          <w:lang w:val="en-US" w:eastAsia="zh-CN"/>
        </w:rPr>
      </w:pPr>
      <w:r>
        <w:rPr>
          <w:rFonts w:hint="eastAsia" w:ascii="仿宋" w:hAnsi="仿宋" w:eastAsia="仿宋" w:cs="仿宋"/>
          <w:color w:val="000000"/>
          <w:lang w:val="en-US" w:eastAsia="zh-CN"/>
        </w:rPr>
        <w:t>（二）国有可移动红色文化遗存，收藏单位为保护管理责任人;</w:t>
      </w:r>
    </w:p>
    <w:p w14:paraId="50C296AE">
      <w:pPr>
        <w:autoSpaceDE w:val="0"/>
        <w:adjustRightInd w:val="0"/>
        <w:snapToGrid w:val="0"/>
        <w:spacing w:line="560" w:lineRule="exact"/>
        <w:ind w:firstLine="640" w:firstLineChars="200"/>
        <w:rPr>
          <w:rFonts w:hint="eastAsia" w:ascii="仿宋" w:hAnsi="仿宋" w:eastAsia="仿宋" w:cs="仿宋"/>
          <w:color w:val="000000"/>
          <w:lang w:val="en-US" w:eastAsia="zh-CN"/>
        </w:rPr>
      </w:pPr>
      <w:r>
        <w:rPr>
          <w:rFonts w:hint="eastAsia" w:ascii="仿宋" w:hAnsi="仿宋" w:eastAsia="仿宋" w:cs="仿宋"/>
          <w:color w:val="000000"/>
          <w:lang w:val="en-US" w:eastAsia="zh-CN"/>
        </w:rPr>
        <w:t>（三）非国有红色文化遗存，所有权人或者使用人为保护管理责任人;</w:t>
      </w:r>
    </w:p>
    <w:p w14:paraId="435BE822">
      <w:pPr>
        <w:autoSpaceDE w:val="0"/>
        <w:adjustRightInd w:val="0"/>
        <w:snapToGrid w:val="0"/>
        <w:spacing w:line="560" w:lineRule="exact"/>
        <w:ind w:firstLine="640" w:firstLineChars="200"/>
        <w:rPr>
          <w:rFonts w:hint="eastAsia" w:ascii="仿宋" w:hAnsi="仿宋" w:cs="仿宋"/>
          <w:color w:val="000000"/>
          <w:sz w:val="21"/>
          <w:szCs w:val="21"/>
          <w:highlight w:val="yellow"/>
          <w:lang w:val="en-US" w:eastAsia="zh-CN"/>
        </w:rPr>
      </w:pPr>
      <w:r>
        <w:rPr>
          <w:rFonts w:hint="eastAsia" w:ascii="仿宋" w:hAnsi="仿宋" w:eastAsia="仿宋" w:cs="仿宋"/>
          <w:color w:val="000000"/>
          <w:lang w:val="en-US" w:eastAsia="zh-CN"/>
        </w:rPr>
        <w:t>（四）所有权人不明确，且暂无管理人或者使用权人的，由县（市、区）文物行政主管部门指定专门机构或者专人负责日常保护管理。</w:t>
      </w:r>
    </w:p>
    <w:p w14:paraId="20A7CC48">
      <w:pPr>
        <w:autoSpaceDE w:val="0"/>
        <w:adjustRightInd w:val="0"/>
        <w:snapToGrid w:val="0"/>
        <w:spacing w:line="560" w:lineRule="exact"/>
        <w:ind w:firstLine="640" w:firstLineChars="200"/>
        <w:rPr>
          <w:rFonts w:hint="eastAsia" w:ascii="仿宋" w:hAnsi="仿宋" w:eastAsia="仿宋" w:cs="仿宋"/>
          <w:color w:val="000000"/>
          <w:lang w:val="en-US" w:eastAsia="zh-CN"/>
        </w:rPr>
      </w:pPr>
      <w:r>
        <w:rPr>
          <w:rFonts w:hint="eastAsia" w:ascii="黑体" w:hAnsi="黑体" w:eastAsia="黑体"/>
          <w:color w:val="000000"/>
          <w:lang w:val="en-US" w:eastAsia="zh-CN"/>
        </w:rPr>
        <w:t>第十九条【保护管理责任人职责】</w:t>
      </w:r>
      <w:r>
        <w:rPr>
          <w:rFonts w:hint="eastAsia" w:ascii="仿宋" w:hAnsi="仿宋" w:eastAsia="仿宋" w:cs="仿宋"/>
          <w:color w:val="000000"/>
          <w:lang w:val="en-US" w:eastAsia="zh-CN"/>
        </w:rPr>
        <w:t>不可移动红色文化遗存保护管理责任人应当按照分级保护、分类管理的要求，履行下列责任：</w:t>
      </w:r>
    </w:p>
    <w:p w14:paraId="16A0CA15">
      <w:pPr>
        <w:autoSpaceDE w:val="0"/>
        <w:adjustRightInd w:val="0"/>
        <w:snapToGrid w:val="0"/>
        <w:spacing w:line="560" w:lineRule="exact"/>
        <w:ind w:firstLine="640" w:firstLineChars="200"/>
        <w:rPr>
          <w:rFonts w:hint="eastAsia" w:ascii="仿宋" w:hAnsi="仿宋" w:eastAsia="仿宋" w:cs="仿宋"/>
          <w:color w:val="000000"/>
          <w:lang w:val="en-US" w:eastAsia="zh-CN"/>
        </w:rPr>
      </w:pPr>
      <w:r>
        <w:rPr>
          <w:rFonts w:hint="eastAsia" w:ascii="仿宋" w:hAnsi="仿宋" w:eastAsia="仿宋" w:cs="仿宋"/>
          <w:color w:val="000000"/>
          <w:lang w:val="en-US" w:eastAsia="zh-CN"/>
        </w:rPr>
        <w:t>（一）做好日常养护、环境整治、陈列展示等工作，保持风貌完整；</w:t>
      </w:r>
    </w:p>
    <w:p w14:paraId="46ECC6B0">
      <w:pPr>
        <w:autoSpaceDE w:val="0"/>
        <w:adjustRightInd w:val="0"/>
        <w:snapToGrid w:val="0"/>
        <w:spacing w:line="560" w:lineRule="exact"/>
        <w:ind w:firstLine="640" w:firstLineChars="200"/>
        <w:rPr>
          <w:rFonts w:hint="eastAsia" w:ascii="仿宋" w:hAnsi="仿宋" w:eastAsia="仿宋" w:cs="仿宋"/>
          <w:color w:val="000000"/>
          <w:lang w:val="en-US" w:eastAsia="zh-CN"/>
        </w:rPr>
      </w:pPr>
      <w:r>
        <w:rPr>
          <w:rFonts w:hint="eastAsia" w:ascii="仿宋" w:hAnsi="仿宋" w:eastAsia="仿宋" w:cs="仿宋"/>
          <w:color w:val="000000"/>
          <w:lang w:val="en-US" w:eastAsia="zh-CN"/>
        </w:rPr>
        <w:t>（二）开展日常巡查，采取防火、防盗、防损坏等有效措施，确保文物安全；</w:t>
      </w:r>
    </w:p>
    <w:p w14:paraId="5D226098">
      <w:pPr>
        <w:autoSpaceDE w:val="0"/>
        <w:adjustRightInd w:val="0"/>
        <w:snapToGrid w:val="0"/>
        <w:spacing w:line="560" w:lineRule="exact"/>
        <w:ind w:firstLine="640" w:firstLineChars="200"/>
        <w:rPr>
          <w:rFonts w:hint="eastAsia" w:ascii="仿宋" w:hAnsi="仿宋" w:eastAsia="仿宋" w:cs="仿宋"/>
          <w:color w:val="000000"/>
          <w:lang w:val="en-US" w:eastAsia="zh-CN"/>
        </w:rPr>
      </w:pPr>
      <w:r>
        <w:rPr>
          <w:rFonts w:hint="eastAsia" w:ascii="仿宋" w:hAnsi="仿宋" w:eastAsia="仿宋" w:cs="仿宋"/>
          <w:color w:val="000000"/>
          <w:lang w:val="en-US" w:eastAsia="zh-CN"/>
        </w:rPr>
        <w:t>（三）发现重大险情或者隐患，立即向所在地镇人民政府、街道办事处报告并依法采取相应抢救保护措施；</w:t>
      </w:r>
    </w:p>
    <w:p w14:paraId="46329402">
      <w:pPr>
        <w:autoSpaceDE w:val="0"/>
        <w:adjustRightInd w:val="0"/>
        <w:snapToGrid w:val="0"/>
        <w:spacing w:line="560" w:lineRule="exact"/>
        <w:ind w:firstLine="640" w:firstLineChars="200"/>
        <w:rPr>
          <w:rFonts w:hint="eastAsia" w:ascii="仿宋" w:hAnsi="仿宋" w:eastAsia="仿宋" w:cs="仿宋"/>
          <w:color w:val="000000"/>
          <w:lang w:val="en-US" w:eastAsia="zh-CN"/>
        </w:rPr>
      </w:pPr>
      <w:r>
        <w:rPr>
          <w:rFonts w:hint="eastAsia" w:ascii="仿宋" w:hAnsi="仿宋" w:eastAsia="仿宋" w:cs="仿宋"/>
          <w:color w:val="000000"/>
          <w:lang w:val="en-US" w:eastAsia="zh-CN"/>
        </w:rPr>
        <w:t>（四）配合有关部门开展监督检查，参加相关培训、教育等活动；</w:t>
      </w:r>
    </w:p>
    <w:p w14:paraId="448F5547">
      <w:pPr>
        <w:autoSpaceDE w:val="0"/>
        <w:adjustRightInd w:val="0"/>
        <w:snapToGrid w:val="0"/>
        <w:spacing w:line="560" w:lineRule="exact"/>
        <w:ind w:firstLine="640" w:firstLineChars="200"/>
        <w:rPr>
          <w:rFonts w:hint="eastAsia" w:ascii="仿宋" w:hAnsi="仿宋" w:eastAsia="仿宋" w:cs="仿宋"/>
          <w:color w:val="000000"/>
          <w:lang w:val="en-US" w:eastAsia="zh-CN"/>
        </w:rPr>
      </w:pPr>
      <w:r>
        <w:rPr>
          <w:rFonts w:hint="eastAsia" w:ascii="仿宋" w:hAnsi="仿宋" w:eastAsia="仿宋" w:cs="仿宋"/>
          <w:color w:val="000000"/>
          <w:lang w:val="en-US" w:eastAsia="zh-CN"/>
        </w:rPr>
        <w:t>（五）对外开放的，组织做好必要的游客管理；</w:t>
      </w:r>
    </w:p>
    <w:p w14:paraId="5D6ED16E">
      <w:pPr>
        <w:autoSpaceDE w:val="0"/>
        <w:adjustRightInd w:val="0"/>
        <w:snapToGrid w:val="0"/>
        <w:spacing w:line="560" w:lineRule="exact"/>
        <w:ind w:firstLine="640" w:firstLineChars="200"/>
        <w:rPr>
          <w:rFonts w:hint="eastAsia" w:ascii="仿宋" w:hAnsi="仿宋" w:eastAsia="仿宋" w:cs="仿宋"/>
          <w:color w:val="000000"/>
          <w:lang w:val="en-US" w:eastAsia="zh-CN"/>
        </w:rPr>
      </w:pPr>
      <w:r>
        <w:rPr>
          <w:rFonts w:hint="eastAsia" w:ascii="仿宋" w:hAnsi="仿宋" w:eastAsia="仿宋" w:cs="仿宋"/>
          <w:color w:val="000000"/>
          <w:lang w:val="en-US" w:eastAsia="zh-CN"/>
        </w:rPr>
        <w:t>（六）法律、法规规定的其他责任。</w:t>
      </w:r>
    </w:p>
    <w:p w14:paraId="72E24239">
      <w:pPr>
        <w:autoSpaceDE w:val="0"/>
        <w:adjustRightInd w:val="0"/>
        <w:snapToGrid w:val="0"/>
        <w:spacing w:line="560" w:lineRule="exact"/>
        <w:ind w:firstLine="640" w:firstLineChars="200"/>
        <w:rPr>
          <w:rFonts w:hint="eastAsia" w:ascii="仿宋" w:hAnsi="仿宋" w:cs="仿宋"/>
          <w:color w:val="000000"/>
          <w:sz w:val="21"/>
          <w:szCs w:val="21"/>
          <w:lang w:val="en-US" w:eastAsia="zh-CN"/>
        </w:rPr>
      </w:pPr>
      <w:r>
        <w:rPr>
          <w:rFonts w:hint="eastAsia" w:ascii="仿宋" w:hAnsi="仿宋" w:eastAsia="仿宋" w:cs="仿宋"/>
          <w:color w:val="000000"/>
          <w:lang w:val="en-US" w:eastAsia="zh-CN"/>
        </w:rPr>
        <w:t>保护管理责任人不具备保护能力的，不可移动红色文化遗存所在地的县（市、区）人民政府应当采取措施予以保护。</w:t>
      </w:r>
    </w:p>
    <w:p w14:paraId="65B2C874">
      <w:pPr>
        <w:autoSpaceDE w:val="0"/>
        <w:adjustRightInd w:val="0"/>
        <w:snapToGrid w:val="0"/>
        <w:spacing w:line="560" w:lineRule="exact"/>
        <w:ind w:firstLine="640" w:firstLineChars="200"/>
        <w:rPr>
          <w:rFonts w:hint="eastAsia" w:ascii="黑体" w:hAnsi="黑体" w:eastAsia="黑体"/>
          <w:color w:val="000000"/>
          <w:lang w:val="en-US" w:eastAsia="zh-CN"/>
        </w:rPr>
      </w:pPr>
      <w:r>
        <w:rPr>
          <w:rFonts w:hint="eastAsia" w:ascii="黑体" w:hAnsi="黑体" w:eastAsia="黑体"/>
          <w:color w:val="000000"/>
          <w:lang w:val="en-US" w:eastAsia="zh-CN"/>
        </w:rPr>
        <w:t>第二十条【保护协议制度】</w:t>
      </w:r>
      <w:r>
        <w:rPr>
          <w:rFonts w:hint="eastAsia" w:ascii="仿宋" w:hAnsi="仿宋" w:eastAsia="仿宋" w:cs="仿宋"/>
          <w:color w:val="000000"/>
          <w:lang w:val="en-US" w:eastAsia="zh-CN"/>
        </w:rPr>
        <w:t>县（市、区）文物行政主管部门应当与保护管理责任人签订保护协议，定期对红色文化遗址保护管理责任人进行技术指导、专业培训，提高保护管理责任人的保护管理能力</w:t>
      </w:r>
      <w:r>
        <w:rPr>
          <w:rFonts w:hint="eastAsia" w:ascii="仿宋" w:hAnsi="仿宋" w:cs="仿宋"/>
          <w:color w:val="000000"/>
          <w:lang w:val="en-US" w:eastAsia="zh-CN"/>
        </w:rPr>
        <w:t>，</w:t>
      </w:r>
      <w:r>
        <w:rPr>
          <w:rFonts w:hint="eastAsia" w:ascii="仿宋" w:hAnsi="仿宋" w:eastAsia="仿宋" w:cs="仿宋"/>
          <w:color w:val="000000"/>
          <w:lang w:val="en-US" w:eastAsia="zh-CN"/>
        </w:rPr>
        <w:t>落实保护责任。</w:t>
      </w:r>
    </w:p>
    <w:p w14:paraId="6F098940">
      <w:pPr>
        <w:autoSpaceDE w:val="0"/>
        <w:adjustRightInd w:val="0"/>
        <w:snapToGrid w:val="0"/>
        <w:spacing w:line="560" w:lineRule="exact"/>
        <w:ind w:firstLine="640" w:firstLineChars="200"/>
        <w:rPr>
          <w:rFonts w:hint="eastAsia" w:ascii="仿宋" w:hAnsi="仿宋" w:eastAsia="仿宋" w:cs="仿宋"/>
          <w:color w:val="000000"/>
          <w:lang w:val="en-US" w:eastAsia="zh-CN"/>
        </w:rPr>
      </w:pPr>
      <w:r>
        <w:rPr>
          <w:rFonts w:hint="eastAsia" w:ascii="黑体" w:hAnsi="黑体" w:eastAsia="黑体"/>
          <w:color w:val="000000"/>
          <w:lang w:val="en-US" w:eastAsia="zh-CN"/>
        </w:rPr>
        <w:t>第二十一条【修缮保养制度】</w:t>
      </w:r>
      <w:r>
        <w:rPr>
          <w:rFonts w:hint="eastAsia" w:ascii="仿宋" w:hAnsi="仿宋" w:eastAsia="仿宋" w:cs="仿宋"/>
          <w:color w:val="000000"/>
          <w:lang w:val="en-US" w:eastAsia="zh-CN"/>
        </w:rPr>
        <w:t>对不可移动红色文化遗存的保护修缮应当遵循最小干预、不改变文物原状的原则，防止过度、不当修缮。</w:t>
      </w:r>
    </w:p>
    <w:p w14:paraId="5F4CB91E">
      <w:pPr>
        <w:autoSpaceDE w:val="0"/>
        <w:adjustRightInd w:val="0"/>
        <w:snapToGrid w:val="0"/>
        <w:spacing w:line="560" w:lineRule="exact"/>
        <w:ind w:firstLine="640" w:firstLineChars="200"/>
        <w:rPr>
          <w:rFonts w:hint="eastAsia" w:ascii="仿宋" w:hAnsi="仿宋" w:eastAsia="仿宋" w:cs="仿宋"/>
          <w:color w:val="000000"/>
          <w:lang w:val="en-US" w:eastAsia="zh-CN"/>
        </w:rPr>
      </w:pPr>
      <w:r>
        <w:rPr>
          <w:rFonts w:hint="eastAsia" w:ascii="仿宋" w:hAnsi="仿宋" w:eastAsia="仿宋" w:cs="仿宋"/>
          <w:color w:val="000000"/>
          <w:lang w:val="en-US" w:eastAsia="zh-CN"/>
        </w:rPr>
        <w:t>不可移动红色文化遗存由保护管理责任人负责修缮、保养。保护责任人不具备修缮能力的，可以通过文物行政主管部门向市、县（市、区）人民政府申请修缮支持。</w:t>
      </w:r>
    </w:p>
    <w:p w14:paraId="17F72DD7">
      <w:pPr>
        <w:autoSpaceDE w:val="0"/>
        <w:adjustRightInd w:val="0"/>
        <w:snapToGrid w:val="0"/>
        <w:spacing w:line="560" w:lineRule="exact"/>
        <w:ind w:firstLine="640" w:firstLineChars="200"/>
        <w:rPr>
          <w:rFonts w:hint="eastAsia" w:ascii="仿宋" w:hAnsi="仿宋" w:cs="仿宋"/>
          <w:color w:val="000000"/>
          <w:sz w:val="21"/>
          <w:szCs w:val="21"/>
          <w:lang w:val="en-US" w:eastAsia="zh-CN"/>
        </w:rPr>
      </w:pPr>
      <w:r>
        <w:rPr>
          <w:rFonts w:hint="eastAsia" w:ascii="仿宋" w:hAnsi="仿宋" w:cs="仿宋"/>
          <w:color w:val="000000"/>
          <w:lang w:val="en-US" w:eastAsia="zh-CN"/>
        </w:rPr>
        <w:t xml:space="preserve">市、县（市、区）文物主管部门负责对修缮活动的指导和监督。  </w:t>
      </w:r>
    </w:p>
    <w:p w14:paraId="57E2D3F7">
      <w:pPr>
        <w:autoSpaceDE w:val="0"/>
        <w:adjustRightInd w:val="0"/>
        <w:snapToGrid w:val="0"/>
        <w:spacing w:line="560" w:lineRule="exact"/>
        <w:ind w:firstLine="640" w:firstLineChars="200"/>
        <w:rPr>
          <w:rFonts w:hint="eastAsia" w:ascii="仿宋" w:hAnsi="仿宋" w:eastAsia="仿宋" w:cs="仿宋"/>
          <w:color w:val="000000"/>
          <w:sz w:val="32"/>
          <w:szCs w:val="32"/>
          <w:lang w:val="en-US" w:eastAsia="zh-CN"/>
        </w:rPr>
      </w:pPr>
      <w:r>
        <w:rPr>
          <w:rFonts w:hint="eastAsia" w:ascii="黑体" w:hAnsi="黑体" w:eastAsia="黑体" w:cs="黑体"/>
          <w:color w:val="000000"/>
          <w:sz w:val="32"/>
          <w:szCs w:val="32"/>
          <w:lang w:val="en-US" w:eastAsia="zh-CN"/>
        </w:rPr>
        <w:t>第二十二条【不可移动红色文化遗存保护范围】</w:t>
      </w:r>
      <w:r>
        <w:rPr>
          <w:rFonts w:hint="eastAsia" w:ascii="仿宋" w:hAnsi="仿宋" w:eastAsia="仿宋" w:cs="仿宋"/>
          <w:color w:val="000000"/>
          <w:sz w:val="32"/>
          <w:szCs w:val="32"/>
          <w:lang w:val="en-US" w:eastAsia="zh-CN"/>
        </w:rPr>
        <w:t>不可移动红色文化遗存核定公布为文物保护单位的，县（市、区）人民政府应当依法划定保护范围和建设控制地带，设置保护标志和界碑，建立记录档案，设置专门机构或者指定专人负责管理；</w:t>
      </w:r>
    </w:p>
    <w:p w14:paraId="7BD91D5F">
      <w:pPr>
        <w:autoSpaceDE w:val="0"/>
        <w:adjustRightInd w:val="0"/>
        <w:snapToGrid w:val="0"/>
        <w:spacing w:line="560" w:lineRule="exact"/>
        <w:ind w:firstLine="640" w:firstLineChars="200"/>
        <w:rPr>
          <w:rFonts w:hint="default" w:ascii="黑体" w:hAnsi="黑体" w:eastAsia="黑体"/>
          <w:color w:val="000000"/>
          <w:lang w:val="en-US" w:eastAsia="zh-CN"/>
        </w:rPr>
      </w:pPr>
      <w:r>
        <w:rPr>
          <w:rFonts w:hint="eastAsia" w:ascii="仿宋" w:hAnsi="仿宋" w:eastAsia="仿宋" w:cs="仿宋"/>
          <w:color w:val="000000"/>
          <w:sz w:val="32"/>
          <w:szCs w:val="32"/>
          <w:lang w:val="en-US" w:eastAsia="zh-CN"/>
        </w:rPr>
        <w:t>不可移动红色文化遗存尚未核定公布为文物保护单位的，县（市、区）文物行政主管部门应当设立保护标志。保护标志内容主要包括遗存名称、史实说明、认定机关、认定日期、保护管理责任人等。</w:t>
      </w:r>
    </w:p>
    <w:p w14:paraId="73557B56">
      <w:pPr>
        <w:autoSpaceDE w:val="0"/>
        <w:adjustRightInd w:val="0"/>
        <w:snapToGrid w:val="0"/>
        <w:spacing w:line="560" w:lineRule="exact"/>
        <w:ind w:firstLine="640" w:firstLineChars="200"/>
        <w:rPr>
          <w:rFonts w:hint="eastAsia" w:ascii="仿宋" w:hAnsi="仿宋" w:eastAsia="仿宋" w:cs="仿宋"/>
          <w:color w:val="000000"/>
          <w:lang w:val="en-US" w:eastAsia="zh-CN"/>
        </w:rPr>
      </w:pPr>
      <w:r>
        <w:rPr>
          <w:rFonts w:hint="eastAsia" w:ascii="黑体" w:hAnsi="黑体" w:eastAsia="黑体"/>
          <w:color w:val="000000"/>
          <w:lang w:val="en-US" w:eastAsia="zh-CN"/>
        </w:rPr>
        <w:t>第二十三条【禁止行为】</w:t>
      </w:r>
      <w:r>
        <w:rPr>
          <w:rFonts w:hint="eastAsia" w:ascii="仿宋" w:hAnsi="仿宋" w:eastAsia="仿宋" w:cs="仿宋"/>
          <w:color w:val="000000"/>
          <w:lang w:val="en-US" w:eastAsia="zh-CN"/>
        </w:rPr>
        <w:t>在核定公布为文物保护单位的不可移动红色文化遗存的保护范围内，禁止下列行为：</w:t>
      </w:r>
    </w:p>
    <w:p w14:paraId="46B40DD7">
      <w:pPr>
        <w:autoSpaceDE w:val="0"/>
        <w:adjustRightInd w:val="0"/>
        <w:snapToGrid w:val="0"/>
        <w:spacing w:line="560" w:lineRule="exact"/>
        <w:ind w:firstLine="640" w:firstLineChars="200"/>
        <w:rPr>
          <w:rFonts w:hint="eastAsia" w:ascii="仿宋" w:hAnsi="仿宋" w:eastAsia="仿宋" w:cs="仿宋"/>
          <w:color w:val="000000"/>
          <w:lang w:val="en-US" w:eastAsia="zh-CN"/>
        </w:rPr>
      </w:pPr>
      <w:r>
        <w:rPr>
          <w:rFonts w:hint="eastAsia" w:ascii="仿宋" w:hAnsi="仿宋" w:eastAsia="仿宋" w:cs="仿宋"/>
          <w:color w:val="000000"/>
          <w:lang w:val="en-US" w:eastAsia="zh-CN"/>
        </w:rPr>
        <w:t>（一）未经批准进行其他建设工程或者爆破、钻探、挖掘等作业；</w:t>
      </w:r>
    </w:p>
    <w:p w14:paraId="22FB6180">
      <w:pPr>
        <w:autoSpaceDE w:val="0"/>
        <w:adjustRightInd w:val="0"/>
        <w:snapToGrid w:val="0"/>
        <w:spacing w:line="560" w:lineRule="exact"/>
        <w:ind w:firstLine="640" w:firstLineChars="200"/>
        <w:rPr>
          <w:rFonts w:hint="eastAsia" w:ascii="仿宋" w:hAnsi="仿宋" w:eastAsia="仿宋" w:cs="仿宋"/>
          <w:color w:val="000000"/>
          <w:lang w:val="en-US" w:eastAsia="zh-CN"/>
        </w:rPr>
      </w:pPr>
      <w:r>
        <w:rPr>
          <w:rFonts w:hint="eastAsia" w:ascii="仿宋" w:hAnsi="仿宋" w:eastAsia="仿宋" w:cs="仿宋"/>
          <w:color w:val="000000"/>
          <w:lang w:val="en-US" w:eastAsia="zh-CN"/>
        </w:rPr>
        <w:t>（二）在本体和保护设施、标志、界碑上刻划、涂污、涂画、张贴；</w:t>
      </w:r>
    </w:p>
    <w:p w14:paraId="1662C880">
      <w:pPr>
        <w:autoSpaceDE w:val="0"/>
        <w:adjustRightInd w:val="0"/>
        <w:snapToGrid w:val="0"/>
        <w:spacing w:line="560" w:lineRule="exact"/>
        <w:ind w:firstLine="640" w:firstLineChars="200"/>
        <w:rPr>
          <w:rFonts w:hint="eastAsia" w:ascii="仿宋" w:hAnsi="仿宋" w:eastAsia="仿宋" w:cs="仿宋"/>
          <w:color w:val="000000"/>
          <w:lang w:val="en-US" w:eastAsia="zh-CN"/>
        </w:rPr>
      </w:pPr>
      <w:r>
        <w:rPr>
          <w:rFonts w:hint="eastAsia" w:ascii="仿宋" w:hAnsi="仿宋" w:eastAsia="仿宋" w:cs="仿宋"/>
          <w:color w:val="000000"/>
          <w:lang w:val="en-US" w:eastAsia="zh-CN"/>
        </w:rPr>
        <w:t>（三）排放污水、堆放垃圾及其他废弃物、挖砂取土取石；</w:t>
      </w:r>
    </w:p>
    <w:p w14:paraId="275ACA27">
      <w:pPr>
        <w:autoSpaceDE w:val="0"/>
        <w:adjustRightInd w:val="0"/>
        <w:snapToGrid w:val="0"/>
        <w:spacing w:line="560" w:lineRule="exact"/>
        <w:ind w:firstLine="640" w:firstLineChars="200"/>
        <w:rPr>
          <w:rFonts w:hint="eastAsia" w:ascii="仿宋" w:hAnsi="仿宋" w:eastAsia="仿宋" w:cs="仿宋"/>
          <w:color w:val="000000"/>
          <w:lang w:val="en-US" w:eastAsia="zh-CN"/>
        </w:rPr>
      </w:pPr>
      <w:r>
        <w:rPr>
          <w:rFonts w:hint="eastAsia" w:ascii="仿宋" w:hAnsi="仿宋" w:eastAsia="仿宋" w:cs="仿宋"/>
          <w:color w:val="000000"/>
          <w:lang w:val="en-US" w:eastAsia="zh-CN"/>
        </w:rPr>
        <w:t>（四）生产、存储易燃易爆、放射性、腐蚀性等危险物品；</w:t>
      </w:r>
    </w:p>
    <w:p w14:paraId="3C6310FE">
      <w:pPr>
        <w:autoSpaceDE w:val="0"/>
        <w:adjustRightInd w:val="0"/>
        <w:snapToGrid w:val="0"/>
        <w:spacing w:line="560" w:lineRule="exact"/>
        <w:ind w:firstLine="640" w:firstLineChars="200"/>
        <w:rPr>
          <w:rFonts w:hint="eastAsia" w:ascii="仿宋" w:hAnsi="仿宋" w:eastAsia="仿宋" w:cs="仿宋"/>
          <w:color w:val="000000"/>
          <w:lang w:val="en-US" w:eastAsia="zh-CN"/>
        </w:rPr>
      </w:pPr>
      <w:r>
        <w:rPr>
          <w:rFonts w:hint="eastAsia" w:ascii="仿宋" w:hAnsi="仿宋" w:eastAsia="仿宋" w:cs="仿宋"/>
          <w:color w:val="000000"/>
          <w:lang w:val="en-US" w:eastAsia="zh-CN"/>
        </w:rPr>
        <w:t>（五）设置和红色文化遗存环境风貌明显不符的户外广告设施和标志标识；</w:t>
      </w:r>
    </w:p>
    <w:p w14:paraId="5185DEDC">
      <w:pPr>
        <w:autoSpaceDE w:val="0"/>
        <w:adjustRightInd w:val="0"/>
        <w:snapToGrid w:val="0"/>
        <w:spacing w:line="560" w:lineRule="exact"/>
        <w:ind w:firstLine="640" w:firstLineChars="200"/>
        <w:rPr>
          <w:rFonts w:hint="eastAsia" w:ascii="仿宋" w:hAnsi="仿宋" w:eastAsia="仿宋" w:cs="仿宋"/>
          <w:color w:val="000000"/>
          <w:lang w:val="en-US" w:eastAsia="zh-CN"/>
        </w:rPr>
      </w:pPr>
      <w:r>
        <w:rPr>
          <w:rFonts w:hint="eastAsia" w:ascii="仿宋" w:hAnsi="仿宋" w:eastAsia="仿宋" w:cs="仿宋"/>
          <w:color w:val="000000"/>
          <w:lang w:val="en-US" w:eastAsia="zh-CN"/>
        </w:rPr>
        <w:t>（六）侵占土地和设施；</w:t>
      </w:r>
    </w:p>
    <w:p w14:paraId="319C3426">
      <w:pPr>
        <w:autoSpaceDE w:val="0"/>
        <w:adjustRightInd w:val="0"/>
        <w:snapToGrid w:val="0"/>
        <w:spacing w:line="560" w:lineRule="exact"/>
        <w:ind w:firstLine="640" w:firstLineChars="200"/>
        <w:rPr>
          <w:rFonts w:hint="eastAsia" w:ascii="仿宋" w:hAnsi="仿宋" w:cs="仿宋"/>
          <w:color w:val="000000"/>
          <w:sz w:val="21"/>
          <w:szCs w:val="21"/>
          <w:lang w:val="en-US" w:eastAsia="zh-CN"/>
        </w:rPr>
      </w:pPr>
      <w:r>
        <w:rPr>
          <w:rFonts w:hint="eastAsia" w:ascii="仿宋" w:hAnsi="仿宋" w:eastAsia="仿宋" w:cs="仿宋"/>
          <w:color w:val="000000"/>
          <w:lang w:val="en-US" w:eastAsia="zh-CN"/>
        </w:rPr>
        <w:t>（七）实施其他有损遗存安全、环境风貌和纪念氛围的行为。</w:t>
      </w:r>
    </w:p>
    <w:p w14:paraId="23F4DD72">
      <w:pPr>
        <w:autoSpaceDE w:val="0"/>
        <w:adjustRightInd w:val="0"/>
        <w:snapToGrid w:val="0"/>
        <w:spacing w:line="560" w:lineRule="exact"/>
        <w:ind w:firstLine="640" w:firstLineChars="200"/>
        <w:rPr>
          <w:rFonts w:hint="eastAsia" w:ascii="仿宋" w:hAnsi="仿宋" w:eastAsia="仿宋" w:cs="仿宋"/>
          <w:color w:val="000000"/>
          <w:lang w:val="en-US" w:eastAsia="zh-CN"/>
        </w:rPr>
      </w:pPr>
      <w:r>
        <w:rPr>
          <w:rFonts w:hint="eastAsia" w:ascii="黑体" w:hAnsi="黑体" w:eastAsia="黑体"/>
          <w:color w:val="000000"/>
          <w:lang w:val="en-US" w:eastAsia="zh-CN"/>
        </w:rPr>
        <w:t>第二十四条【不可移动红色文化遗存的保护措施】</w:t>
      </w:r>
      <w:r>
        <w:rPr>
          <w:rFonts w:hint="eastAsia" w:ascii="仿宋" w:hAnsi="仿宋" w:eastAsia="仿宋" w:cs="仿宋"/>
          <w:color w:val="000000"/>
          <w:lang w:val="en-US" w:eastAsia="zh-CN"/>
        </w:rPr>
        <w:t>在核定公布为文物保护单位的不可移动红色文化遗存建设控制地带内，</w:t>
      </w:r>
      <w:r>
        <w:rPr>
          <w:rFonts w:hint="eastAsia" w:ascii="仿宋" w:hAnsi="仿宋" w:eastAsia="仿宋" w:cs="仿宋"/>
          <w:color w:val="000000"/>
          <w:highlight w:val="none"/>
          <w:lang w:val="en-US" w:eastAsia="zh-CN"/>
        </w:rPr>
        <w:t>新建、改建、扩建建筑物、构筑物的，应当依法履行报批手续</w:t>
      </w:r>
      <w:r>
        <w:rPr>
          <w:rFonts w:hint="eastAsia" w:ascii="仿宋" w:hAnsi="仿宋" w:eastAsia="仿宋" w:cs="仿宋"/>
          <w:color w:val="000000"/>
          <w:lang w:val="en-US" w:eastAsia="zh-CN"/>
        </w:rPr>
        <w:t>，其选址、布局、高度、体量、色调等应当与遗存的环境风貌相协调。</w:t>
      </w:r>
    </w:p>
    <w:p w14:paraId="38172D82">
      <w:pPr>
        <w:autoSpaceDE w:val="0"/>
        <w:adjustRightInd w:val="0"/>
        <w:snapToGrid w:val="0"/>
        <w:spacing w:line="560" w:lineRule="exact"/>
        <w:ind w:firstLine="640" w:firstLineChars="200"/>
        <w:rPr>
          <w:rFonts w:hint="eastAsia" w:ascii="仿宋" w:hAnsi="仿宋" w:eastAsia="仿宋" w:cs="仿宋"/>
          <w:color w:val="000000"/>
          <w:lang w:val="en-US" w:eastAsia="zh-CN"/>
        </w:rPr>
      </w:pPr>
      <w:r>
        <w:rPr>
          <w:rFonts w:hint="eastAsia" w:ascii="仿宋" w:hAnsi="仿宋" w:eastAsia="仿宋" w:cs="仿宋"/>
          <w:color w:val="000000"/>
          <w:lang w:val="en-US" w:eastAsia="zh-CN"/>
        </w:rPr>
        <w:t>保护范围和建设控制地带内已有的建筑物、构筑物与遗存的环境风貌不协调的，县（市、区）人民政府应当依法进行改造或者拆除。</w:t>
      </w:r>
    </w:p>
    <w:p w14:paraId="0C31C0F1">
      <w:pPr>
        <w:autoSpaceDE w:val="0"/>
        <w:adjustRightInd w:val="0"/>
        <w:snapToGrid w:val="0"/>
        <w:spacing w:line="560" w:lineRule="exact"/>
        <w:ind w:firstLine="640" w:firstLineChars="200"/>
        <w:rPr>
          <w:rFonts w:hint="eastAsia" w:ascii="仿宋" w:hAnsi="仿宋" w:eastAsia="仿宋" w:cs="仿宋"/>
          <w:color w:val="000000"/>
          <w:lang w:val="en-US" w:eastAsia="zh-CN"/>
        </w:rPr>
      </w:pPr>
      <w:r>
        <w:rPr>
          <w:rFonts w:hint="eastAsia" w:ascii="黑体" w:hAnsi="黑体" w:eastAsia="黑体"/>
          <w:color w:val="000000"/>
          <w:lang w:val="en-US" w:eastAsia="zh-CN"/>
        </w:rPr>
        <w:t>第二十五条【针对性保护措施】</w:t>
      </w:r>
      <w:r>
        <w:rPr>
          <w:rFonts w:hint="eastAsia" w:ascii="仿宋" w:hAnsi="仿宋" w:eastAsia="仿宋" w:cs="仿宋"/>
          <w:color w:val="000000"/>
          <w:lang w:val="en-US" w:eastAsia="zh-CN"/>
        </w:rPr>
        <w:t>红色文化遗存按照类型和形态特点实施保护：</w:t>
      </w:r>
    </w:p>
    <w:p w14:paraId="157EC6F1">
      <w:pPr>
        <w:numPr>
          <w:ilvl w:val="0"/>
          <w:numId w:val="1"/>
        </w:numPr>
        <w:autoSpaceDE w:val="0"/>
        <w:adjustRightInd w:val="0"/>
        <w:snapToGrid w:val="0"/>
        <w:spacing w:line="560" w:lineRule="exact"/>
        <w:ind w:firstLine="640" w:firstLineChars="200"/>
        <w:rPr>
          <w:rFonts w:hint="eastAsia" w:ascii="仿宋" w:hAnsi="仿宋" w:eastAsia="仿宋" w:cs="仿宋"/>
          <w:color w:val="000000"/>
          <w:lang w:val="en-US" w:eastAsia="zh-CN"/>
        </w:rPr>
      </w:pPr>
      <w:r>
        <w:rPr>
          <w:rFonts w:hint="eastAsia" w:ascii="仿宋" w:hAnsi="仿宋" w:eastAsia="仿宋" w:cs="仿宋"/>
          <w:color w:val="000000"/>
          <w:lang w:val="en-US" w:eastAsia="zh-CN"/>
        </w:rPr>
        <w:t>重要机构、会议旧址</w:t>
      </w:r>
      <w:r>
        <w:rPr>
          <w:rFonts w:hint="eastAsia" w:ascii="仿宋" w:hAnsi="仿宋" w:cs="仿宋"/>
          <w:color w:val="000000"/>
          <w:lang w:val="en-US" w:eastAsia="zh-CN"/>
        </w:rPr>
        <w:t>、遗址</w:t>
      </w:r>
      <w:r>
        <w:rPr>
          <w:rFonts w:hint="eastAsia" w:ascii="仿宋" w:hAnsi="仿宋" w:eastAsia="仿宋" w:cs="仿宋"/>
          <w:color w:val="000000"/>
          <w:lang w:val="en-US" w:eastAsia="zh-CN"/>
        </w:rPr>
        <w:t>，英雄烈士故居、旧居，</w:t>
      </w:r>
      <w:r>
        <w:rPr>
          <w:rFonts w:hint="eastAsia" w:ascii="仿宋" w:hAnsi="仿宋" w:cs="仿宋"/>
          <w:color w:val="000000"/>
          <w:lang w:val="en-US" w:eastAsia="zh-CN"/>
        </w:rPr>
        <w:t>人民军队</w:t>
      </w:r>
      <w:r>
        <w:rPr>
          <w:rFonts w:hint="eastAsia" w:ascii="仿宋" w:hAnsi="仿宋" w:eastAsia="仿宋" w:cs="仿宋"/>
          <w:color w:val="000000"/>
          <w:lang w:val="en-US" w:eastAsia="zh-CN"/>
        </w:rPr>
        <w:t>、地下党组织驻地房屋及其他建筑物、构筑物，应当加强原有格局、形制、外观的保护，以及附属建筑、庭院、屋场等历史空间和生活设施的保护；</w:t>
      </w:r>
    </w:p>
    <w:p w14:paraId="74F3F4DE">
      <w:pPr>
        <w:autoSpaceDE w:val="0"/>
        <w:adjustRightInd w:val="0"/>
        <w:snapToGrid w:val="0"/>
        <w:spacing w:line="560" w:lineRule="exact"/>
        <w:ind w:firstLine="640" w:firstLineChars="200"/>
        <w:rPr>
          <w:rFonts w:hint="eastAsia" w:ascii="仿宋" w:hAnsi="仿宋" w:eastAsia="仿宋" w:cs="仿宋"/>
          <w:color w:val="000000"/>
          <w:lang w:val="en-US" w:eastAsia="zh-CN"/>
        </w:rPr>
      </w:pPr>
      <w:r>
        <w:rPr>
          <w:rFonts w:hint="eastAsia" w:ascii="仿宋" w:hAnsi="仿宋" w:eastAsia="仿宋" w:cs="仿宋"/>
          <w:color w:val="000000"/>
          <w:lang w:val="en-US" w:eastAsia="zh-CN"/>
        </w:rPr>
        <w:t>（二）重要事件、</w:t>
      </w:r>
      <w:r>
        <w:rPr>
          <w:rFonts w:hint="eastAsia" w:ascii="仿宋" w:hAnsi="仿宋" w:cs="仿宋"/>
          <w:color w:val="000000"/>
          <w:lang w:val="en-US" w:eastAsia="zh-CN"/>
        </w:rPr>
        <w:t>战役、工程</w:t>
      </w:r>
      <w:r>
        <w:rPr>
          <w:rFonts w:hint="eastAsia" w:ascii="仿宋" w:hAnsi="仿宋" w:eastAsia="仿宋" w:cs="仿宋"/>
          <w:color w:val="000000"/>
          <w:lang w:val="en-US" w:eastAsia="zh-CN"/>
        </w:rPr>
        <w:t>的发生地，应当加强建筑物、构筑物以及环境、景观特征的保护；</w:t>
      </w:r>
    </w:p>
    <w:p w14:paraId="728F732F">
      <w:pPr>
        <w:autoSpaceDE w:val="0"/>
        <w:adjustRightInd w:val="0"/>
        <w:snapToGrid w:val="0"/>
        <w:spacing w:line="560" w:lineRule="exact"/>
        <w:ind w:firstLine="640" w:firstLineChars="200"/>
        <w:rPr>
          <w:rFonts w:hint="eastAsia" w:ascii="仿宋" w:hAnsi="仿宋" w:eastAsia="仿宋" w:cs="仿宋"/>
          <w:color w:val="000000"/>
          <w:lang w:val="en-US" w:eastAsia="zh-CN"/>
        </w:rPr>
      </w:pPr>
      <w:r>
        <w:rPr>
          <w:rFonts w:hint="eastAsia" w:ascii="仿宋" w:hAnsi="仿宋" w:eastAsia="仿宋" w:cs="仿宋"/>
          <w:color w:val="000000"/>
          <w:lang w:val="en-US" w:eastAsia="zh-CN"/>
        </w:rPr>
        <w:t>（三）烈士陵园、</w:t>
      </w:r>
      <w:r>
        <w:rPr>
          <w:rFonts w:hint="eastAsia" w:ascii="仿宋" w:hAnsi="仿宋" w:cs="仿宋"/>
          <w:color w:val="000000"/>
          <w:lang w:val="en-US" w:eastAsia="zh-CN"/>
        </w:rPr>
        <w:t>烈士</w:t>
      </w:r>
      <w:r>
        <w:rPr>
          <w:rFonts w:hint="eastAsia" w:ascii="仿宋" w:hAnsi="仿宋" w:eastAsia="仿宋" w:cs="仿宋"/>
          <w:color w:val="000000"/>
          <w:lang w:val="en-US" w:eastAsia="zh-CN"/>
        </w:rPr>
        <w:t>墓地、纪念堂馆、碑亭、塔祠等纪念设施，应当加强原有墓碑、雕塑、石刻的保护；</w:t>
      </w:r>
    </w:p>
    <w:p w14:paraId="7072F10A">
      <w:pPr>
        <w:autoSpaceDE w:val="0"/>
        <w:adjustRightInd w:val="0"/>
        <w:snapToGrid w:val="0"/>
        <w:spacing w:line="560" w:lineRule="exact"/>
        <w:ind w:firstLine="640" w:firstLineChars="200"/>
        <w:rPr>
          <w:rFonts w:hint="eastAsia" w:ascii="仿宋" w:hAnsi="仿宋" w:cs="仿宋"/>
          <w:color w:val="000000"/>
          <w:sz w:val="21"/>
          <w:szCs w:val="21"/>
          <w:lang w:val="en-US" w:eastAsia="zh-CN"/>
        </w:rPr>
      </w:pPr>
      <w:r>
        <w:rPr>
          <w:rFonts w:hint="eastAsia" w:ascii="仿宋" w:hAnsi="仿宋" w:eastAsia="仿宋" w:cs="仿宋"/>
          <w:color w:val="000000"/>
          <w:lang w:val="en-US" w:eastAsia="zh-CN"/>
        </w:rPr>
        <w:t>（四）文献</w:t>
      </w:r>
      <w:r>
        <w:rPr>
          <w:rFonts w:hint="eastAsia" w:ascii="仿宋" w:hAnsi="仿宋" w:cs="仿宋"/>
          <w:color w:val="000000"/>
          <w:lang w:val="en-US" w:eastAsia="zh-CN"/>
        </w:rPr>
        <w:t>、</w:t>
      </w:r>
      <w:r>
        <w:rPr>
          <w:rFonts w:hint="eastAsia" w:ascii="仿宋" w:hAnsi="仿宋" w:eastAsia="仿宋" w:cs="仿宋"/>
          <w:color w:val="000000"/>
          <w:lang w:val="en-US" w:eastAsia="zh-CN"/>
        </w:rPr>
        <w:t>档案和实物应当根据存在形式、不同材质及制作方法开展专业保护。</w:t>
      </w:r>
    </w:p>
    <w:p w14:paraId="5390912A">
      <w:pPr>
        <w:autoSpaceDE w:val="0"/>
        <w:adjustRightInd w:val="0"/>
        <w:snapToGrid w:val="0"/>
        <w:spacing w:line="560" w:lineRule="exact"/>
        <w:ind w:firstLine="640" w:firstLineChars="200"/>
        <w:rPr>
          <w:rFonts w:hint="eastAsia" w:ascii="仿宋" w:hAnsi="仿宋" w:eastAsia="仿宋" w:cs="仿宋"/>
          <w:color w:val="000000"/>
          <w:lang w:val="en-US" w:eastAsia="zh-CN"/>
        </w:rPr>
      </w:pPr>
      <w:r>
        <w:rPr>
          <w:rFonts w:hint="eastAsia" w:ascii="黑体" w:hAnsi="黑体" w:eastAsia="黑体"/>
          <w:color w:val="000000"/>
          <w:lang w:val="en-US" w:eastAsia="zh-CN"/>
        </w:rPr>
        <w:t>第二十六条【可移动红色文化遗存保护措施】</w:t>
      </w:r>
      <w:r>
        <w:rPr>
          <w:rFonts w:hint="eastAsia" w:ascii="仿宋" w:hAnsi="仿宋" w:eastAsia="仿宋" w:cs="仿宋"/>
          <w:color w:val="000000"/>
          <w:lang w:val="en-US" w:eastAsia="zh-CN"/>
        </w:rPr>
        <w:t>市、县（市、区）人民政府设立的博物馆、纪念馆、档案馆等</w:t>
      </w:r>
      <w:r>
        <w:rPr>
          <w:rFonts w:hint="eastAsia" w:ascii="仿宋" w:hAnsi="仿宋" w:cs="仿宋"/>
          <w:color w:val="000000"/>
          <w:lang w:val="en-US" w:eastAsia="zh-CN"/>
        </w:rPr>
        <w:t>保护、</w:t>
      </w:r>
      <w:r>
        <w:rPr>
          <w:rFonts w:hint="eastAsia" w:ascii="仿宋" w:hAnsi="仿宋" w:eastAsia="仿宋" w:cs="仿宋"/>
          <w:color w:val="000000"/>
          <w:lang w:val="en-US" w:eastAsia="zh-CN"/>
        </w:rPr>
        <w:t>研究收藏机构根据保护研究需要，可以对可移动红色文化遗存进行征集、收购。征集、收购应当遵循公平、自愿的原则。</w:t>
      </w:r>
    </w:p>
    <w:p w14:paraId="3636DD65">
      <w:pPr>
        <w:autoSpaceDE w:val="0"/>
        <w:adjustRightInd w:val="0"/>
        <w:snapToGrid w:val="0"/>
        <w:spacing w:line="560" w:lineRule="exact"/>
        <w:ind w:firstLine="640" w:firstLineChars="200"/>
        <w:rPr>
          <w:rFonts w:hint="eastAsia" w:ascii="黑体" w:hAnsi="黑体" w:eastAsia="黑体"/>
          <w:color w:val="000000"/>
          <w:lang w:val="en-US" w:eastAsia="zh-CN"/>
        </w:rPr>
      </w:pPr>
      <w:r>
        <w:rPr>
          <w:rFonts w:hint="eastAsia" w:ascii="仿宋" w:hAnsi="仿宋" w:eastAsia="仿宋" w:cs="仿宋"/>
          <w:color w:val="000000"/>
          <w:lang w:val="en-US" w:eastAsia="zh-CN"/>
        </w:rPr>
        <w:t>博物馆、纪念馆、档案馆等</w:t>
      </w:r>
      <w:r>
        <w:rPr>
          <w:rFonts w:hint="eastAsia" w:ascii="仿宋" w:hAnsi="仿宋" w:cs="仿宋"/>
          <w:color w:val="000000"/>
          <w:lang w:val="en-US" w:eastAsia="zh-CN"/>
        </w:rPr>
        <w:t>保护、</w:t>
      </w:r>
      <w:r>
        <w:rPr>
          <w:rFonts w:hint="eastAsia" w:ascii="仿宋" w:hAnsi="仿宋" w:eastAsia="仿宋" w:cs="仿宋"/>
          <w:color w:val="000000"/>
          <w:lang w:val="en-US" w:eastAsia="zh-CN"/>
        </w:rPr>
        <w:t>研究、收藏机构应当建立健全收藏、保管制度，完善收藏、保管条件。</w:t>
      </w:r>
    </w:p>
    <w:p w14:paraId="576D566C">
      <w:pPr>
        <w:autoSpaceDE w:val="0"/>
        <w:adjustRightInd w:val="0"/>
        <w:snapToGrid w:val="0"/>
        <w:spacing w:before="156" w:beforeLines="50" w:after="156" w:afterLines="50" w:line="560" w:lineRule="exact"/>
        <w:jc w:val="center"/>
        <w:rPr>
          <w:rFonts w:ascii="仿宋_GB2312" w:hAnsi="仿宋_GB2312"/>
          <w:b/>
          <w:color w:val="333333"/>
          <w:kern w:val="0"/>
          <w:shd w:val="clear" w:color="auto" w:fill="FFFFFF"/>
        </w:rPr>
      </w:pPr>
      <w:r>
        <w:rPr>
          <w:rFonts w:hint="eastAsia" w:ascii="黑体" w:hAnsi="黑体" w:eastAsia="黑体"/>
          <w:color w:val="000000"/>
        </w:rPr>
        <w:t>第</w:t>
      </w:r>
      <w:r>
        <w:rPr>
          <w:rFonts w:hint="eastAsia" w:ascii="黑体" w:hAnsi="黑体" w:eastAsia="黑体"/>
          <w:color w:val="000000"/>
          <w:lang w:val="en-US" w:eastAsia="zh-CN"/>
        </w:rPr>
        <w:t>三</w:t>
      </w:r>
      <w:r>
        <w:rPr>
          <w:rFonts w:hint="eastAsia" w:ascii="黑体" w:hAnsi="黑体" w:eastAsia="黑体"/>
          <w:color w:val="000000"/>
        </w:rPr>
        <w:t>章  传承利用</w:t>
      </w:r>
    </w:p>
    <w:p w14:paraId="4F4091BA">
      <w:pPr>
        <w:autoSpaceDE w:val="0"/>
        <w:adjustRightInd w:val="0"/>
        <w:snapToGrid w:val="0"/>
        <w:spacing w:line="560" w:lineRule="exact"/>
        <w:ind w:firstLine="640" w:firstLineChars="200"/>
        <w:rPr>
          <w:rFonts w:hint="eastAsia" w:ascii="仿宋" w:hAnsi="仿宋" w:cs="仿宋"/>
          <w:color w:val="000000"/>
          <w:lang w:val="en-US" w:eastAsia="zh-CN"/>
        </w:rPr>
      </w:pPr>
      <w:r>
        <w:rPr>
          <w:rFonts w:hint="eastAsia" w:ascii="黑体" w:hAnsi="黑体" w:eastAsia="黑体"/>
          <w:color w:val="000000"/>
          <w:lang w:val="en-US" w:eastAsia="zh-CN"/>
        </w:rPr>
        <w:t>第二十七条【宣传传播】</w:t>
      </w:r>
      <w:r>
        <w:rPr>
          <w:rFonts w:hint="eastAsia" w:ascii="仿宋" w:hAnsi="仿宋" w:eastAsia="仿宋" w:cs="仿宋"/>
          <w:color w:val="000000"/>
          <w:lang w:val="en-US" w:eastAsia="zh-CN"/>
        </w:rPr>
        <w:t>市、县（市、区）人民政府及有关部门应当加强红色文化遗存保护的宣传教育，增强全民保护意识</w:t>
      </w:r>
      <w:r>
        <w:rPr>
          <w:rFonts w:hint="eastAsia" w:ascii="仿宋" w:hAnsi="仿宋" w:cs="仿宋"/>
          <w:color w:val="000000"/>
          <w:lang w:val="en-US" w:eastAsia="zh-CN"/>
        </w:rPr>
        <w:t>。</w:t>
      </w:r>
    </w:p>
    <w:p w14:paraId="08E40D73">
      <w:pPr>
        <w:autoSpaceDE w:val="0"/>
        <w:adjustRightInd w:val="0"/>
        <w:snapToGrid w:val="0"/>
        <w:spacing w:line="560" w:lineRule="exact"/>
        <w:ind w:firstLine="640" w:firstLineChars="200"/>
        <w:rPr>
          <w:rFonts w:hint="eastAsia" w:ascii="仿宋" w:hAnsi="仿宋" w:eastAsia="仿宋" w:cs="仿宋"/>
          <w:color w:val="000000"/>
          <w:lang w:val="en-US" w:eastAsia="zh-CN"/>
        </w:rPr>
      </w:pPr>
      <w:r>
        <w:rPr>
          <w:rFonts w:hint="eastAsia" w:ascii="仿宋" w:hAnsi="仿宋" w:eastAsia="仿宋" w:cs="仿宋"/>
          <w:color w:val="000000"/>
          <w:lang w:val="en-US" w:eastAsia="zh-CN"/>
        </w:rPr>
        <w:t>市、县（市、区）宣传、文化旅游、广播电视等部门以及各类文化机构</w:t>
      </w:r>
      <w:r>
        <w:rPr>
          <w:rFonts w:hint="eastAsia" w:ascii="仿宋" w:hAnsi="仿宋" w:cs="仿宋"/>
          <w:color w:val="000000"/>
          <w:lang w:val="en-US" w:eastAsia="zh-CN"/>
        </w:rPr>
        <w:t>应当</w:t>
      </w:r>
      <w:r>
        <w:rPr>
          <w:rFonts w:hint="eastAsia" w:ascii="仿宋" w:hAnsi="仿宋" w:eastAsia="仿宋" w:cs="仿宋"/>
          <w:color w:val="000000"/>
          <w:lang w:val="en-US" w:eastAsia="zh-CN"/>
        </w:rPr>
        <w:t>利用广播、电视、报刊、网站、微信公众号、微博、视频号等，构建融媒体红色</w:t>
      </w:r>
      <w:r>
        <w:rPr>
          <w:rFonts w:hint="eastAsia" w:ascii="仿宋" w:hAnsi="仿宋" w:cs="仿宋"/>
          <w:color w:val="000000"/>
          <w:lang w:val="en-US" w:eastAsia="zh-CN"/>
        </w:rPr>
        <w:t>文化</w:t>
      </w:r>
      <w:r>
        <w:rPr>
          <w:rFonts w:hint="eastAsia" w:ascii="仿宋" w:hAnsi="仿宋" w:eastAsia="仿宋" w:cs="仿宋"/>
          <w:color w:val="000000"/>
          <w:lang w:val="en-US" w:eastAsia="zh-CN"/>
        </w:rPr>
        <w:t>宣传联盟</w:t>
      </w:r>
      <w:r>
        <w:rPr>
          <w:rFonts w:hint="eastAsia" w:ascii="仿宋" w:hAnsi="仿宋" w:cs="仿宋"/>
          <w:color w:val="000000"/>
          <w:lang w:val="en-US" w:eastAsia="zh-CN"/>
        </w:rPr>
        <w:t>，</w:t>
      </w:r>
      <w:r>
        <w:rPr>
          <w:rFonts w:hint="eastAsia" w:ascii="仿宋" w:hAnsi="仿宋" w:eastAsia="仿宋" w:cs="仿宋"/>
          <w:color w:val="000000"/>
          <w:lang w:val="en-US" w:eastAsia="zh-CN"/>
        </w:rPr>
        <w:t>广泛宣传红色文化。</w:t>
      </w:r>
    </w:p>
    <w:p w14:paraId="0C2ADF0C">
      <w:pPr>
        <w:autoSpaceDE w:val="0"/>
        <w:adjustRightInd w:val="0"/>
        <w:snapToGrid w:val="0"/>
        <w:spacing w:line="560" w:lineRule="exact"/>
        <w:ind w:firstLine="640" w:firstLineChars="200"/>
        <w:rPr>
          <w:rFonts w:hint="eastAsia" w:ascii="仿宋" w:hAnsi="仿宋" w:eastAsia="仿宋" w:cs="仿宋"/>
          <w:color w:val="000000"/>
          <w:lang w:val="en-US" w:eastAsia="zh-CN"/>
        </w:rPr>
      </w:pPr>
      <w:r>
        <w:rPr>
          <w:rFonts w:hint="eastAsia" w:ascii="仿宋" w:hAnsi="仿宋" w:eastAsia="仿宋" w:cs="仿宋"/>
          <w:color w:val="000000"/>
          <w:lang w:val="en-US" w:eastAsia="zh-CN"/>
        </w:rPr>
        <w:t>鼓励公民、法人和其他组织运用自媒体等方式宣传、展示、传播红色</w:t>
      </w:r>
      <w:r>
        <w:rPr>
          <w:rFonts w:hint="eastAsia" w:ascii="仿宋" w:hAnsi="仿宋" w:cs="仿宋"/>
          <w:color w:val="000000"/>
          <w:lang w:val="en-US" w:eastAsia="zh-CN"/>
        </w:rPr>
        <w:t>文化</w:t>
      </w:r>
      <w:r>
        <w:rPr>
          <w:rFonts w:hint="eastAsia" w:ascii="仿宋" w:hAnsi="仿宋" w:eastAsia="仿宋" w:cs="仿宋"/>
          <w:color w:val="000000"/>
          <w:lang w:val="en-US" w:eastAsia="zh-CN"/>
        </w:rPr>
        <w:t xml:space="preserve">。 </w:t>
      </w:r>
    </w:p>
    <w:p w14:paraId="3D3C54C3">
      <w:pPr>
        <w:autoSpaceDE w:val="0"/>
        <w:adjustRightInd w:val="0"/>
        <w:snapToGrid w:val="0"/>
        <w:spacing w:line="560" w:lineRule="exact"/>
        <w:ind w:firstLine="640" w:firstLineChars="200"/>
        <w:rPr>
          <w:rFonts w:hint="eastAsia" w:ascii="仿宋" w:hAnsi="仿宋" w:eastAsia="仿宋" w:cs="仿宋"/>
          <w:color w:val="000000"/>
          <w:lang w:val="en-US" w:eastAsia="zh-CN"/>
        </w:rPr>
      </w:pPr>
      <w:r>
        <w:rPr>
          <w:rFonts w:hint="eastAsia" w:ascii="黑体" w:hAnsi="黑体" w:eastAsia="黑体"/>
          <w:color w:val="000000"/>
          <w:lang w:val="en-US" w:eastAsia="zh-CN"/>
        </w:rPr>
        <w:t>第二十八条【展览展示】</w:t>
      </w:r>
      <w:r>
        <w:rPr>
          <w:rFonts w:hint="eastAsia" w:ascii="仿宋" w:hAnsi="仿宋" w:eastAsia="仿宋" w:cs="仿宋"/>
          <w:color w:val="000000"/>
          <w:lang w:val="en-US" w:eastAsia="zh-CN"/>
        </w:rPr>
        <w:t>具备开放条件的红色文化遗存应当按照国家有关规定，向社会公众开放。</w:t>
      </w:r>
    </w:p>
    <w:p w14:paraId="224047C6">
      <w:pPr>
        <w:autoSpaceDE w:val="0"/>
        <w:adjustRightInd w:val="0"/>
        <w:snapToGrid w:val="0"/>
        <w:spacing w:line="560" w:lineRule="exact"/>
        <w:ind w:firstLine="640" w:firstLineChars="200"/>
        <w:rPr>
          <w:rFonts w:hint="eastAsia" w:ascii="仿宋" w:hAnsi="仿宋" w:eastAsia="仿宋" w:cs="仿宋"/>
          <w:color w:val="000000"/>
          <w:lang w:val="en-US" w:eastAsia="zh-CN"/>
        </w:rPr>
      </w:pPr>
      <w:r>
        <w:rPr>
          <w:rFonts w:hint="eastAsia" w:ascii="仿宋" w:hAnsi="仿宋" w:eastAsia="仿宋" w:cs="仿宋"/>
          <w:color w:val="000000"/>
          <w:lang w:val="en-US" w:eastAsia="zh-CN"/>
        </w:rPr>
        <w:t>鼓励和支持博物馆、纪念馆、档案馆等保护、研究、收藏机构利用红色文化遗存举办主题展览，运用现代技术手段，创新展览展示方式，增强展览展示的生动性、互动性和体验感。</w:t>
      </w:r>
    </w:p>
    <w:p w14:paraId="5EB58C23">
      <w:pPr>
        <w:autoSpaceDE w:val="0"/>
        <w:adjustRightInd w:val="0"/>
        <w:snapToGrid w:val="0"/>
        <w:spacing w:line="560" w:lineRule="exact"/>
        <w:ind w:firstLine="640" w:firstLineChars="200"/>
        <w:rPr>
          <w:rFonts w:hint="eastAsia" w:ascii="仿宋" w:hAnsi="仿宋" w:cs="仿宋"/>
          <w:color w:val="000000"/>
          <w:sz w:val="21"/>
          <w:szCs w:val="21"/>
          <w:lang w:val="en-US" w:eastAsia="zh-CN"/>
        </w:rPr>
      </w:pPr>
      <w:r>
        <w:rPr>
          <w:rFonts w:hint="eastAsia" w:ascii="仿宋" w:hAnsi="仿宋" w:eastAsia="仿宋" w:cs="仿宋"/>
          <w:color w:val="000000"/>
          <w:lang w:val="en-US" w:eastAsia="zh-CN"/>
        </w:rPr>
        <w:t>红色文化遗存展览展示的讲解人员应当经过专门培训，讲解应当尊重史实。展览展示内容和解说词应当征求宣传、党史、地方志等部门的意见。</w:t>
      </w:r>
    </w:p>
    <w:p w14:paraId="4D043509">
      <w:pPr>
        <w:autoSpaceDE w:val="0"/>
        <w:adjustRightInd w:val="0"/>
        <w:snapToGrid w:val="0"/>
        <w:spacing w:line="560" w:lineRule="exact"/>
        <w:ind w:firstLine="640" w:firstLineChars="200"/>
        <w:rPr>
          <w:rFonts w:hint="eastAsia" w:ascii="黑体" w:hAnsi="黑体" w:eastAsia="仿宋"/>
          <w:color w:val="000000"/>
          <w:lang w:val="en-US" w:eastAsia="zh-CN"/>
        </w:rPr>
      </w:pPr>
      <w:r>
        <w:rPr>
          <w:rFonts w:hint="eastAsia" w:ascii="黑体" w:hAnsi="黑体" w:eastAsia="黑体"/>
          <w:color w:val="000000"/>
          <w:lang w:val="en-US" w:eastAsia="zh-CN"/>
        </w:rPr>
        <w:t>第二十九条【研究创作】</w:t>
      </w:r>
      <w:r>
        <w:rPr>
          <w:rFonts w:hint="eastAsia" w:ascii="仿宋" w:hAnsi="仿宋" w:eastAsia="仿宋" w:cs="仿宋"/>
          <w:sz w:val="32"/>
          <w:szCs w:val="32"/>
        </w:rPr>
        <w:t>市、县</w:t>
      </w:r>
      <w:r>
        <w:rPr>
          <w:rFonts w:hint="eastAsia" w:ascii="仿宋" w:hAnsi="仿宋" w:cs="仿宋"/>
          <w:sz w:val="32"/>
          <w:szCs w:val="32"/>
          <w:lang w:eastAsia="zh-CN"/>
        </w:rPr>
        <w:t>（</w:t>
      </w:r>
      <w:r>
        <w:rPr>
          <w:rFonts w:hint="eastAsia" w:ascii="仿宋" w:hAnsi="仿宋" w:cs="仿宋"/>
          <w:sz w:val="32"/>
          <w:szCs w:val="32"/>
          <w:lang w:val="en-US" w:eastAsia="zh-CN"/>
        </w:rPr>
        <w:t>市、区</w:t>
      </w:r>
      <w:r>
        <w:rPr>
          <w:rFonts w:hint="eastAsia" w:ascii="仿宋" w:hAnsi="仿宋" w:cs="仿宋"/>
          <w:sz w:val="32"/>
          <w:szCs w:val="32"/>
          <w:lang w:eastAsia="zh-CN"/>
        </w:rPr>
        <w:t>）</w:t>
      </w:r>
      <w:r>
        <w:rPr>
          <w:rFonts w:hint="eastAsia" w:ascii="仿宋" w:hAnsi="仿宋" w:eastAsia="仿宋" w:cs="仿宋"/>
          <w:sz w:val="32"/>
          <w:szCs w:val="32"/>
        </w:rPr>
        <w:t>人民政府及其有关部门应当加强红色文化遗存文化内涵、历史价值的挖掘和研究，</w:t>
      </w:r>
      <w:r>
        <w:rPr>
          <w:rFonts w:hint="eastAsia" w:ascii="仿宋" w:hAnsi="仿宋" w:eastAsia="仿宋" w:cs="仿宋"/>
          <w:bCs/>
          <w:sz w:val="32"/>
          <w:szCs w:val="32"/>
          <w:lang w:val="en-US" w:eastAsia="zh-CN"/>
        </w:rPr>
        <w:t>探索红色文化活态传承方式</w:t>
      </w:r>
      <w:r>
        <w:rPr>
          <w:rFonts w:hint="eastAsia" w:ascii="仿宋" w:hAnsi="仿宋" w:eastAsia="仿宋" w:cs="仿宋"/>
          <w:bCs/>
          <w:sz w:val="32"/>
          <w:szCs w:val="32"/>
        </w:rPr>
        <w:t>，推动红色文化的弘扬和传承</w:t>
      </w:r>
      <w:r>
        <w:rPr>
          <w:rFonts w:hint="eastAsia" w:ascii="仿宋" w:hAnsi="仿宋" w:eastAsia="仿宋" w:cs="仿宋"/>
          <w:sz w:val="32"/>
          <w:szCs w:val="32"/>
        </w:rPr>
        <w:t>。</w:t>
      </w:r>
    </w:p>
    <w:p w14:paraId="3D00CD1A">
      <w:pPr>
        <w:autoSpaceDE w:val="0"/>
        <w:adjustRightInd w:val="0"/>
        <w:snapToGrid w:val="0"/>
        <w:spacing w:line="560" w:lineRule="exact"/>
        <w:ind w:firstLine="640" w:firstLineChars="200"/>
        <w:rPr>
          <w:rFonts w:hint="eastAsia" w:ascii="仿宋" w:hAnsi="仿宋" w:eastAsia="仿宋" w:cs="仿宋"/>
          <w:color w:val="000000"/>
          <w:lang w:val="en-US" w:eastAsia="zh-CN"/>
        </w:rPr>
      </w:pPr>
      <w:r>
        <w:rPr>
          <w:rFonts w:hint="eastAsia" w:ascii="仿宋" w:hAnsi="仿宋" w:eastAsia="仿宋" w:cs="仿宋"/>
          <w:color w:val="000000"/>
          <w:lang w:val="en-US" w:eastAsia="zh-CN"/>
        </w:rPr>
        <w:t>鼓励社会各界开展有关红色文化遗存的理论研究、学术交流，创作文学、影视、音乐、美术及其他艺术作品，开发文化创意产品，传播弘扬红色文化精神。</w:t>
      </w:r>
    </w:p>
    <w:p w14:paraId="373D3C5D">
      <w:pPr>
        <w:autoSpaceDE w:val="0"/>
        <w:adjustRightInd w:val="0"/>
        <w:snapToGrid w:val="0"/>
        <w:spacing w:line="560" w:lineRule="exact"/>
        <w:ind w:firstLine="640" w:firstLineChars="200"/>
        <w:rPr>
          <w:rFonts w:hint="eastAsia" w:ascii="仿宋" w:hAnsi="仿宋" w:eastAsia="仿宋" w:cs="仿宋"/>
          <w:color w:val="000000"/>
          <w:lang w:val="en-US" w:eastAsia="zh-CN"/>
        </w:rPr>
      </w:pPr>
      <w:r>
        <w:rPr>
          <w:rFonts w:hint="eastAsia" w:ascii="黑体" w:hAnsi="黑体" w:eastAsia="黑体"/>
          <w:color w:val="000000"/>
          <w:lang w:val="en-US" w:eastAsia="zh-CN"/>
        </w:rPr>
        <w:t>第三十条【教育实践活动】</w:t>
      </w:r>
      <w:r>
        <w:rPr>
          <w:rFonts w:hint="eastAsia" w:ascii="仿宋" w:hAnsi="仿宋" w:eastAsia="仿宋" w:cs="仿宋"/>
          <w:color w:val="000000"/>
          <w:lang w:val="en-US" w:eastAsia="zh-CN"/>
        </w:rPr>
        <w:t>鼓励国家机关、企业事业单位和社会组织利用红色文化遗存开展党史学习教育、革命传统教育、爱国主义教育、廉政教育、国防教育</w:t>
      </w:r>
      <w:r>
        <w:rPr>
          <w:rFonts w:hint="eastAsia" w:ascii="仿宋" w:hAnsi="仿宋" w:cs="仿宋"/>
          <w:color w:val="000000"/>
          <w:lang w:val="en-US" w:eastAsia="zh-CN"/>
        </w:rPr>
        <w:t>、铸牢中华民族共同体意识教育</w:t>
      </w:r>
      <w:r>
        <w:rPr>
          <w:rFonts w:hint="eastAsia" w:ascii="仿宋" w:hAnsi="仿宋" w:eastAsia="仿宋" w:cs="仿宋"/>
          <w:color w:val="000000"/>
          <w:lang w:val="en-US" w:eastAsia="zh-CN"/>
        </w:rPr>
        <w:t>等活动，弘扬社会主义核心价值观。</w:t>
      </w:r>
    </w:p>
    <w:p w14:paraId="306A80EE">
      <w:pPr>
        <w:autoSpaceDE w:val="0"/>
        <w:adjustRightInd w:val="0"/>
        <w:snapToGrid w:val="0"/>
        <w:spacing w:line="560" w:lineRule="exact"/>
        <w:ind w:firstLine="640" w:firstLineChars="200"/>
        <w:rPr>
          <w:rFonts w:hint="eastAsia" w:ascii="仿宋" w:hAnsi="仿宋" w:eastAsia="仿宋" w:cs="仿宋"/>
          <w:color w:val="000000"/>
          <w:lang w:val="en-US" w:eastAsia="zh-CN"/>
        </w:rPr>
      </w:pPr>
      <w:r>
        <w:rPr>
          <w:rFonts w:hint="eastAsia" w:ascii="仿宋" w:hAnsi="仿宋" w:eastAsia="仿宋" w:cs="仿宋"/>
          <w:color w:val="000000"/>
          <w:lang w:val="en-US" w:eastAsia="zh-CN"/>
        </w:rPr>
        <w:t>市、县（市、区）教育行政主管部门应当指导各级各类学校根据实际情况，利用红色文化遗存加强学校思想政治工作，组织学生开展主题研学活动，通过现场教学、主题教育、社会实践等方式，开展革命传统教育、爱国主义教育、青少年思想道德教育。</w:t>
      </w:r>
    </w:p>
    <w:p w14:paraId="04F42AD9">
      <w:pPr>
        <w:autoSpaceDE w:val="0"/>
        <w:adjustRightInd w:val="0"/>
        <w:snapToGrid w:val="0"/>
        <w:spacing w:line="560" w:lineRule="exact"/>
        <w:ind w:firstLine="640" w:firstLineChars="200"/>
        <w:rPr>
          <w:rFonts w:hint="eastAsia" w:ascii="黑体" w:hAnsi="黑体" w:eastAsia="黑体"/>
          <w:color w:val="000000"/>
          <w:lang w:val="en-US" w:eastAsia="zh-CN"/>
        </w:rPr>
      </w:pPr>
      <w:r>
        <w:rPr>
          <w:rFonts w:hint="eastAsia" w:ascii="仿宋" w:hAnsi="仿宋" w:eastAsia="仿宋" w:cs="仿宋"/>
          <w:color w:val="000000"/>
          <w:lang w:val="en-US" w:eastAsia="zh-CN"/>
        </w:rPr>
        <w:t>党校（行政学院）、干部教育培训机构应当合理利用红色文化遗存组织开展实践教学活动，将红色文化遗存承载的革命历史、革命精神纳入教育培训内容。</w:t>
      </w:r>
    </w:p>
    <w:p w14:paraId="3C31F9D2">
      <w:pPr>
        <w:autoSpaceDE w:val="0"/>
        <w:adjustRightInd w:val="0"/>
        <w:snapToGrid w:val="0"/>
        <w:spacing w:line="560" w:lineRule="exact"/>
        <w:ind w:firstLine="640" w:firstLineChars="200"/>
        <w:rPr>
          <w:rFonts w:hint="eastAsia" w:ascii="黑体" w:hAnsi="黑体" w:eastAsia="黑体"/>
          <w:color w:val="000000"/>
          <w:lang w:val="en-US" w:eastAsia="zh-CN"/>
        </w:rPr>
      </w:pPr>
      <w:r>
        <w:rPr>
          <w:rFonts w:hint="eastAsia" w:ascii="黑体" w:hAnsi="黑体" w:eastAsia="黑体"/>
          <w:color w:val="000000"/>
          <w:lang w:val="en-US" w:eastAsia="zh-CN"/>
        </w:rPr>
        <w:t>第三十一条【融合发展】</w:t>
      </w:r>
      <w:r>
        <w:rPr>
          <w:rFonts w:hint="eastAsia" w:ascii="仿宋" w:hAnsi="仿宋" w:eastAsia="仿宋" w:cs="仿宋"/>
          <w:color w:val="000000"/>
          <w:lang w:val="en-US" w:eastAsia="zh-CN"/>
        </w:rPr>
        <w:t>市、县（市、区）人民政府及其相关部门应当拓展红色文化遗存利用途径，推动红色旅游与文化旅游、乡村旅游、生态旅游等融合发展，加强红色文化遗存保护利用与特色镇</w:t>
      </w:r>
      <w:r>
        <w:rPr>
          <w:rFonts w:hint="eastAsia" w:ascii="仿宋" w:hAnsi="仿宋" w:cs="仿宋"/>
          <w:color w:val="000000"/>
          <w:lang w:val="en-US" w:eastAsia="zh-CN"/>
        </w:rPr>
        <w:t>村</w:t>
      </w:r>
      <w:r>
        <w:rPr>
          <w:rFonts w:hint="eastAsia" w:ascii="仿宋" w:hAnsi="仿宋" w:eastAsia="仿宋" w:cs="仿宋"/>
          <w:color w:val="000000"/>
          <w:lang w:val="en-US" w:eastAsia="zh-CN"/>
        </w:rPr>
        <w:t>建设、传统村落保护相结合，助力乡村振兴。</w:t>
      </w:r>
    </w:p>
    <w:p w14:paraId="523C06B8">
      <w:pPr>
        <w:autoSpaceDE w:val="0"/>
        <w:adjustRightInd w:val="0"/>
        <w:snapToGrid w:val="0"/>
        <w:spacing w:line="560" w:lineRule="exact"/>
        <w:ind w:firstLine="640" w:firstLineChars="200"/>
        <w:rPr>
          <w:rFonts w:hint="eastAsia" w:ascii="仿宋" w:hAnsi="仿宋" w:eastAsia="仿宋" w:cs="仿宋"/>
          <w:color w:val="000000"/>
          <w:lang w:val="en-US" w:eastAsia="zh-CN"/>
        </w:rPr>
      </w:pPr>
      <w:r>
        <w:rPr>
          <w:rFonts w:hint="eastAsia" w:ascii="黑体" w:hAnsi="黑体" w:eastAsia="黑体"/>
          <w:color w:val="000000"/>
          <w:lang w:val="en-US" w:eastAsia="zh-CN"/>
        </w:rPr>
        <w:t>第三十二条【禁止行为】</w:t>
      </w:r>
      <w:r>
        <w:rPr>
          <w:rFonts w:hint="eastAsia" w:ascii="仿宋" w:hAnsi="仿宋" w:eastAsia="仿宋" w:cs="仿宋"/>
          <w:color w:val="000000"/>
          <w:lang w:val="en-US" w:eastAsia="zh-CN"/>
        </w:rPr>
        <w:t>禁止以歪曲、丑化、亵渎、否定等方式利用红色文化遗存。</w:t>
      </w:r>
    </w:p>
    <w:p w14:paraId="35AE3BFF">
      <w:pPr>
        <w:autoSpaceDE w:val="0"/>
        <w:spacing w:before="156" w:beforeLines="50" w:after="156" w:afterLines="50" w:line="560" w:lineRule="exact"/>
        <w:jc w:val="center"/>
        <w:rPr>
          <w:rFonts w:ascii="仿宋_GB2312" w:hAnsi="仿宋_GB2312"/>
          <w:bCs/>
          <w:color w:val="000000"/>
        </w:rPr>
      </w:pPr>
      <w:r>
        <w:rPr>
          <w:rFonts w:hint="eastAsia" w:ascii="黑体" w:hAnsi="黑体" w:eastAsia="黑体"/>
          <w:color w:val="000000"/>
        </w:rPr>
        <w:t>第</w:t>
      </w:r>
      <w:r>
        <w:rPr>
          <w:rFonts w:hint="eastAsia" w:ascii="黑体" w:hAnsi="黑体" w:eastAsia="黑体"/>
          <w:color w:val="000000"/>
          <w:lang w:val="en-US" w:eastAsia="zh-CN"/>
        </w:rPr>
        <w:t>四</w:t>
      </w:r>
      <w:r>
        <w:rPr>
          <w:rFonts w:hint="eastAsia" w:ascii="黑体" w:hAnsi="黑体" w:eastAsia="黑体"/>
          <w:color w:val="000000"/>
        </w:rPr>
        <w:t>章  法律责任</w:t>
      </w:r>
    </w:p>
    <w:p w14:paraId="7B5069E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bCs/>
          <w:color w:val="000000" w:themeColor="text1"/>
          <w:sz w:val="32"/>
          <w:szCs w:val="32"/>
          <w14:textFill>
            <w14:solidFill>
              <w14:schemeClr w14:val="tx1"/>
            </w14:solidFill>
          </w14:textFill>
        </w:rPr>
      </w:pPr>
      <w:r>
        <w:rPr>
          <w:rFonts w:hint="eastAsia" w:ascii="黑体" w:hAnsi="黑体" w:eastAsia="黑体"/>
          <w:color w:val="000000"/>
          <w:lang w:val="en-US" w:eastAsia="zh-CN"/>
        </w:rPr>
        <w:t>第三十三条【不可移动红色文化遗存的保护范围内违法行为的法律责任】</w:t>
      </w:r>
      <w:r>
        <w:rPr>
          <w:rFonts w:hint="eastAsia" w:ascii="仿宋_GB2312" w:eastAsia="仿宋_GB2312"/>
          <w:bCs/>
          <w:color w:val="000000" w:themeColor="text1"/>
          <w:sz w:val="32"/>
          <w:szCs w:val="32"/>
          <w14:textFill>
            <w14:solidFill>
              <w14:schemeClr w14:val="tx1"/>
            </w14:solidFill>
          </w14:textFill>
        </w:rPr>
        <w:t>违反本条例第二十</w:t>
      </w:r>
      <w:r>
        <w:rPr>
          <w:rFonts w:hint="eastAsia" w:ascii="仿宋_GB2312" w:eastAsia="仿宋_GB2312"/>
          <w:bCs/>
          <w:color w:val="000000" w:themeColor="text1"/>
          <w:sz w:val="32"/>
          <w:szCs w:val="32"/>
          <w:lang w:val="en-US" w:eastAsia="zh-CN"/>
          <w14:textFill>
            <w14:solidFill>
              <w14:schemeClr w14:val="tx1"/>
            </w14:solidFill>
          </w14:textFill>
        </w:rPr>
        <w:t>三</w:t>
      </w:r>
      <w:r>
        <w:rPr>
          <w:rFonts w:hint="eastAsia" w:ascii="仿宋_GB2312" w:eastAsia="仿宋_GB2312"/>
          <w:bCs/>
          <w:color w:val="000000" w:themeColor="text1"/>
          <w:sz w:val="32"/>
          <w:szCs w:val="32"/>
          <w14:textFill>
            <w14:solidFill>
              <w14:schemeClr w14:val="tx1"/>
            </w14:solidFill>
          </w14:textFill>
        </w:rPr>
        <w:t>条规定</w:t>
      </w:r>
      <w:r>
        <w:rPr>
          <w:rFonts w:hint="eastAsia" w:ascii="仿宋_GB2312" w:eastAsia="仿宋_GB2312"/>
          <w:bCs/>
          <w:color w:val="000000" w:themeColor="text1"/>
          <w:sz w:val="32"/>
          <w:szCs w:val="32"/>
          <w:lang w:val="en-US" w:eastAsia="zh-CN"/>
          <w14:textFill>
            <w14:solidFill>
              <w14:schemeClr w14:val="tx1"/>
            </w14:solidFill>
          </w14:textFill>
        </w:rPr>
        <w:t>的</w:t>
      </w:r>
      <w:r>
        <w:rPr>
          <w:rFonts w:hint="eastAsia" w:ascii="仿宋_GB2312" w:eastAsia="仿宋_GB2312"/>
          <w:bCs/>
          <w:color w:val="000000" w:themeColor="text1"/>
          <w:sz w:val="32"/>
          <w:szCs w:val="32"/>
          <w14:textFill>
            <w14:solidFill>
              <w14:schemeClr w14:val="tx1"/>
            </w14:solidFill>
          </w14:textFill>
        </w:rPr>
        <w:t>，由</w:t>
      </w:r>
      <w:r>
        <w:rPr>
          <w:rFonts w:hint="eastAsia" w:ascii="仿宋_GB2312" w:eastAsia="仿宋_GB2312"/>
          <w:bCs/>
          <w:color w:val="000000" w:themeColor="text1"/>
          <w:sz w:val="32"/>
          <w:szCs w:val="32"/>
          <w:lang w:val="en-US" w:eastAsia="zh-CN"/>
          <w14:textFill>
            <w14:solidFill>
              <w14:schemeClr w14:val="tx1"/>
            </w14:solidFill>
          </w14:textFill>
        </w:rPr>
        <w:t>有关</w:t>
      </w:r>
      <w:r>
        <w:rPr>
          <w:rFonts w:hint="eastAsia" w:ascii="仿宋_GB2312" w:eastAsia="仿宋_GB2312"/>
          <w:bCs/>
          <w:color w:val="000000" w:themeColor="text1"/>
          <w:sz w:val="32"/>
          <w:szCs w:val="32"/>
          <w14:textFill>
            <w14:solidFill>
              <w14:schemeClr w14:val="tx1"/>
            </w14:solidFill>
          </w14:textFill>
        </w:rPr>
        <w:t>主管部门依法给予处罚</w:t>
      </w:r>
      <w:r>
        <w:rPr>
          <w:rFonts w:hint="eastAsia" w:ascii="仿宋_GB2312" w:eastAsia="仿宋_GB2312"/>
          <w:bCs/>
          <w:color w:val="000000" w:themeColor="text1"/>
          <w:sz w:val="32"/>
          <w:szCs w:val="32"/>
          <w:lang w:val="en-US" w:eastAsia="zh-CN"/>
          <w14:textFill>
            <w14:solidFill>
              <w14:schemeClr w14:val="tx1"/>
            </w14:solidFill>
          </w14:textFill>
        </w:rPr>
        <w:t>、处理</w:t>
      </w:r>
      <w:r>
        <w:rPr>
          <w:rFonts w:hint="eastAsia" w:ascii="仿宋_GB2312" w:eastAsia="仿宋_GB2312"/>
          <w:bCs/>
          <w:color w:val="000000" w:themeColor="text1"/>
          <w:sz w:val="32"/>
          <w:szCs w:val="32"/>
          <w14:textFill>
            <w14:solidFill>
              <w14:schemeClr w14:val="tx1"/>
            </w14:solidFill>
          </w14:textFill>
        </w:rPr>
        <w:t>。</w:t>
      </w:r>
    </w:p>
    <w:p w14:paraId="108E3145">
      <w:pPr>
        <w:keepNext w:val="0"/>
        <w:keepLines w:val="0"/>
        <w:pageBreakBefore w:val="0"/>
        <w:widowControl w:val="0"/>
        <w:kinsoku/>
        <w:wordWrap/>
        <w:overflowPunct/>
        <w:autoSpaceDE/>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黑体" w:cs="仿宋_GB2312"/>
          <w:sz w:val="32"/>
          <w:szCs w:val="32"/>
        </w:rPr>
        <w:t>第</w:t>
      </w:r>
      <w:r>
        <w:rPr>
          <w:rFonts w:hint="eastAsia" w:ascii="仿宋_GB2312" w:hAnsi="仿宋_GB2312" w:eastAsia="黑体" w:cs="仿宋_GB2312"/>
          <w:sz w:val="32"/>
          <w:szCs w:val="32"/>
          <w:lang w:val="en-US" w:eastAsia="zh-CN"/>
        </w:rPr>
        <w:t>三十四</w:t>
      </w:r>
      <w:r>
        <w:rPr>
          <w:rFonts w:hint="eastAsia" w:ascii="仿宋_GB2312" w:hAnsi="仿宋_GB2312" w:eastAsia="黑体" w:cs="仿宋_GB2312"/>
          <w:sz w:val="32"/>
          <w:szCs w:val="32"/>
        </w:rPr>
        <w:t>条</w:t>
      </w:r>
      <w:r>
        <w:rPr>
          <w:rFonts w:hint="eastAsia" w:ascii="仿宋_GB2312" w:hAnsi="仿宋_GB2312" w:eastAsia="黑体" w:cs="仿宋_GB2312"/>
          <w:sz w:val="32"/>
          <w:szCs w:val="32"/>
          <w:lang w:eastAsia="zh-CN"/>
        </w:rPr>
        <w:t>【歪曲、丑化、亵渎、否定</w:t>
      </w:r>
      <w:r>
        <w:rPr>
          <w:rFonts w:hint="eastAsia" w:ascii="仿宋_GB2312" w:hAnsi="仿宋_GB2312" w:eastAsia="黑体" w:cs="仿宋_GB2312"/>
          <w:sz w:val="32"/>
          <w:szCs w:val="32"/>
          <w:lang w:val="en-US" w:eastAsia="zh-CN"/>
        </w:rPr>
        <w:t>等违法行为的法律责任</w:t>
      </w:r>
      <w:r>
        <w:rPr>
          <w:rFonts w:hint="eastAsia" w:ascii="仿宋_GB2312" w:hAnsi="仿宋_GB2312" w:eastAsia="黑体" w:cs="仿宋_GB2312"/>
          <w:sz w:val="32"/>
          <w:szCs w:val="32"/>
          <w:lang w:eastAsia="zh-CN"/>
        </w:rPr>
        <w:t>】</w:t>
      </w:r>
      <w:r>
        <w:rPr>
          <w:rFonts w:hint="eastAsia" w:ascii="楷体" w:hAnsi="楷体" w:eastAsia="楷体" w:cs="楷体"/>
          <w:sz w:val="32"/>
          <w:szCs w:val="32"/>
        </w:rPr>
        <w:t xml:space="preserve">  </w:t>
      </w:r>
      <w:r>
        <w:rPr>
          <w:rFonts w:hint="eastAsia" w:ascii="仿宋_GB2312" w:eastAsia="仿宋_GB2312"/>
          <w:bCs/>
          <w:color w:val="000000" w:themeColor="text1"/>
          <w:sz w:val="32"/>
          <w:szCs w:val="32"/>
          <w14:textFill>
            <w14:solidFill>
              <w14:schemeClr w14:val="tx1"/>
            </w14:solidFill>
          </w14:textFill>
        </w:rPr>
        <w:t>违反本条例</w:t>
      </w:r>
      <w:r>
        <w:rPr>
          <w:rFonts w:hint="eastAsia" w:ascii="仿宋_GB2312" w:eastAsia="仿宋_GB2312"/>
          <w:bCs/>
          <w:color w:val="000000" w:themeColor="text1"/>
          <w:sz w:val="32"/>
          <w:szCs w:val="32"/>
          <w:lang w:val="en-US" w:eastAsia="zh-CN"/>
          <w14:textFill>
            <w14:solidFill>
              <w14:schemeClr w14:val="tx1"/>
            </w14:solidFill>
          </w14:textFill>
        </w:rPr>
        <w:t>第</w:t>
      </w:r>
      <w:r>
        <w:rPr>
          <w:rFonts w:hint="eastAsia" w:ascii="仿宋_GB2312" w:eastAsia="仿宋_GB2312"/>
          <w:bCs/>
          <w:color w:val="000000" w:themeColor="text1"/>
          <w:sz w:val="32"/>
          <w:szCs w:val="32"/>
          <w14:textFill>
            <w14:solidFill>
              <w14:schemeClr w14:val="tx1"/>
            </w14:solidFill>
          </w14:textFill>
        </w:rPr>
        <w:t>三十二条规定</w:t>
      </w:r>
      <w:r>
        <w:rPr>
          <w:rFonts w:hint="eastAsia" w:ascii="仿宋_GB2312" w:eastAsia="仿宋_GB2312"/>
          <w:bCs/>
          <w:color w:val="000000" w:themeColor="text1"/>
          <w:sz w:val="32"/>
          <w:szCs w:val="32"/>
          <w:lang w:val="en-US" w:eastAsia="zh-CN"/>
          <w14:textFill>
            <w14:solidFill>
              <w14:schemeClr w14:val="tx1"/>
            </w14:solidFill>
          </w14:textFill>
        </w:rPr>
        <w:t>的</w:t>
      </w:r>
      <w:r>
        <w:rPr>
          <w:rFonts w:hint="eastAsia" w:ascii="仿宋_GB2312" w:hAnsi="仿宋_GB2312" w:eastAsia="仿宋_GB2312" w:cs="仿宋_GB2312"/>
          <w:sz w:val="32"/>
          <w:szCs w:val="32"/>
        </w:rPr>
        <w:t>，依法承担民事责任；</w:t>
      </w:r>
      <w:r>
        <w:rPr>
          <w:rFonts w:hint="eastAsia" w:ascii="仿宋_GB2312" w:eastAsia="仿宋_GB2312"/>
          <w:bCs/>
          <w:color w:val="000000" w:themeColor="text1"/>
          <w:sz w:val="32"/>
          <w:szCs w:val="32"/>
          <w14:textFill>
            <w14:solidFill>
              <w14:schemeClr w14:val="tx1"/>
            </w14:solidFill>
          </w14:textFill>
        </w:rPr>
        <w:t>构成违反治安管理行为的，由公安机关依法给予治安管理处罚；构成犯罪的，依法追究刑事责任。</w:t>
      </w:r>
    </w:p>
    <w:p w14:paraId="4467B5A9">
      <w:pPr>
        <w:keepNext w:val="0"/>
        <w:keepLines w:val="0"/>
        <w:pageBreakBefore w:val="0"/>
        <w:widowControl w:val="0"/>
        <w:kinsoku/>
        <w:wordWrap/>
        <w:overflowPunct/>
        <w:autoSpaceDE/>
        <w:autoSpaceDN/>
        <w:bidi w:val="0"/>
        <w:spacing w:line="600" w:lineRule="exact"/>
        <w:ind w:firstLine="640" w:firstLineChars="200"/>
        <w:textAlignment w:val="auto"/>
        <w:rPr>
          <w:rFonts w:ascii="仿宋_GB2312" w:hAnsi="仿宋_GB2312" w:eastAsia="仿宋_GB2312" w:cs="仿宋_GB2312"/>
          <w:sz w:val="32"/>
          <w:szCs w:val="32"/>
        </w:rPr>
      </w:pPr>
      <w:r>
        <w:rPr>
          <w:rFonts w:hint="eastAsia" w:ascii="仿宋_GB2312" w:eastAsia="黑体"/>
          <w:bCs/>
          <w:color w:val="000000" w:themeColor="text1"/>
          <w:sz w:val="32"/>
          <w:szCs w:val="32"/>
          <w14:textFill>
            <w14:solidFill>
              <w14:schemeClr w14:val="tx1"/>
            </w14:solidFill>
          </w14:textFill>
        </w:rPr>
        <w:t>第</w:t>
      </w:r>
      <w:r>
        <w:rPr>
          <w:rFonts w:hint="eastAsia" w:ascii="仿宋_GB2312" w:eastAsia="黑体"/>
          <w:bCs/>
          <w:color w:val="000000" w:themeColor="text1"/>
          <w:sz w:val="32"/>
          <w:szCs w:val="32"/>
          <w:lang w:val="en-US" w:eastAsia="zh-CN"/>
          <w14:textFill>
            <w14:solidFill>
              <w14:schemeClr w14:val="tx1"/>
            </w14:solidFill>
          </w14:textFill>
        </w:rPr>
        <w:t>三十五</w:t>
      </w:r>
      <w:r>
        <w:rPr>
          <w:rFonts w:hint="eastAsia" w:ascii="仿宋_GB2312" w:eastAsia="黑体"/>
          <w:bCs/>
          <w:color w:val="000000" w:themeColor="text1"/>
          <w:sz w:val="32"/>
          <w:szCs w:val="32"/>
          <w14:textFill>
            <w14:solidFill>
              <w14:schemeClr w14:val="tx1"/>
            </w14:solidFill>
          </w14:textFill>
        </w:rPr>
        <w:t>条</w:t>
      </w:r>
      <w:r>
        <w:rPr>
          <w:rFonts w:hint="eastAsia" w:ascii="仿宋_GB2312" w:eastAsia="黑体"/>
          <w:bCs/>
          <w:color w:val="000000" w:themeColor="text1"/>
          <w:sz w:val="32"/>
          <w:szCs w:val="32"/>
          <w:lang w:eastAsia="zh-CN"/>
          <w14:textFill>
            <w14:solidFill>
              <w14:schemeClr w14:val="tx1"/>
            </w14:solidFill>
          </w14:textFill>
        </w:rPr>
        <w:t>【国家机关及其工作人员</w:t>
      </w:r>
      <w:r>
        <w:rPr>
          <w:rFonts w:hint="eastAsia" w:ascii="仿宋_GB2312" w:eastAsia="黑体"/>
          <w:bCs/>
          <w:color w:val="000000" w:themeColor="text1"/>
          <w:sz w:val="32"/>
          <w:szCs w:val="32"/>
          <w:lang w:val="en-US" w:eastAsia="zh-CN"/>
          <w14:textFill>
            <w14:solidFill>
              <w14:schemeClr w14:val="tx1"/>
            </w14:solidFill>
          </w14:textFill>
        </w:rPr>
        <w:t>违法行为的法律责任</w:t>
      </w:r>
      <w:r>
        <w:rPr>
          <w:rFonts w:hint="eastAsia" w:ascii="仿宋_GB2312" w:eastAsia="黑体"/>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sz w:val="32"/>
          <w:szCs w:val="32"/>
        </w:rPr>
        <w:t>国家机关及其工作人员在</w:t>
      </w:r>
      <w:r>
        <w:rPr>
          <w:rFonts w:hint="eastAsia" w:ascii="仿宋_GB2312" w:hAnsi="仿宋_GB2312" w:eastAsia="仿宋_GB2312" w:cs="仿宋_GB2312"/>
          <w:sz w:val="32"/>
          <w:szCs w:val="32"/>
          <w:lang w:val="en-US" w:eastAsia="zh-CN"/>
        </w:rPr>
        <w:t>红色文化遗存</w:t>
      </w:r>
      <w:r>
        <w:rPr>
          <w:rFonts w:hint="eastAsia" w:ascii="仿宋_GB2312" w:hAnsi="仿宋_GB2312" w:eastAsia="仿宋_GB2312" w:cs="仿宋_GB2312"/>
          <w:sz w:val="32"/>
          <w:szCs w:val="32"/>
        </w:rPr>
        <w:t>保护利用工作中滥用职权、玩忽职守、徇私舞弊的，对直接负责的主管人员和其他直接责任人员，由主管机关依法给予处理；构成犯罪的，依法追究刑事责任。</w:t>
      </w:r>
    </w:p>
    <w:p w14:paraId="04D72957">
      <w:pPr>
        <w:keepNext w:val="0"/>
        <w:keepLines w:val="0"/>
        <w:pageBreakBefore w:val="0"/>
        <w:widowControl w:val="0"/>
        <w:kinsoku/>
        <w:wordWrap/>
        <w:overflowPunct/>
        <w:autoSpaceDE/>
        <w:autoSpaceDN/>
        <w:bidi w:val="0"/>
        <w:spacing w:line="600" w:lineRule="exact"/>
        <w:ind w:firstLine="320" w:firstLineChars="100"/>
        <w:textAlignment w:val="auto"/>
        <w:rPr>
          <w:rFonts w:ascii="仿宋_GB2312" w:hAnsi="仿宋_GB2312" w:eastAsia="黑体" w:cs="仿宋_GB2312"/>
          <w:kern w:val="0"/>
        </w:rPr>
      </w:pPr>
      <w:r>
        <w:rPr>
          <w:rFonts w:hint="eastAsia" w:ascii="仿宋_GB2312" w:hAnsi="仿宋_GB2312" w:eastAsia="仿宋_GB2312" w:cs="仿宋_GB2312"/>
          <w:sz w:val="32"/>
          <w:szCs w:val="32"/>
        </w:rPr>
        <w:t xml:space="preserve">  </w:t>
      </w:r>
      <w:r>
        <w:rPr>
          <w:rFonts w:hint="eastAsia" w:ascii="仿宋_GB2312" w:eastAsia="黑体"/>
          <w:bCs/>
          <w:color w:val="000000" w:themeColor="text1"/>
          <w:sz w:val="32"/>
          <w:szCs w:val="32"/>
          <w14:textFill>
            <w14:solidFill>
              <w14:schemeClr w14:val="tx1"/>
            </w14:solidFill>
          </w14:textFill>
        </w:rPr>
        <w:t>第</w:t>
      </w:r>
      <w:r>
        <w:rPr>
          <w:rFonts w:hint="eastAsia" w:ascii="仿宋_GB2312" w:eastAsia="黑体"/>
          <w:bCs/>
          <w:color w:val="000000" w:themeColor="text1"/>
          <w:sz w:val="32"/>
          <w:szCs w:val="32"/>
          <w:lang w:val="en-US" w:eastAsia="zh-CN"/>
          <w14:textFill>
            <w14:solidFill>
              <w14:schemeClr w14:val="tx1"/>
            </w14:solidFill>
          </w14:textFill>
        </w:rPr>
        <w:t>三十六</w:t>
      </w:r>
      <w:r>
        <w:rPr>
          <w:rFonts w:hint="eastAsia" w:ascii="仿宋_GB2312" w:eastAsia="黑体"/>
          <w:bCs/>
          <w:color w:val="000000" w:themeColor="text1"/>
          <w:sz w:val="32"/>
          <w:szCs w:val="32"/>
          <w14:textFill>
            <w14:solidFill>
              <w14:schemeClr w14:val="tx1"/>
            </w14:solidFill>
          </w14:textFill>
        </w:rPr>
        <w:t>条</w:t>
      </w:r>
      <w:r>
        <w:rPr>
          <w:rFonts w:hint="eastAsia" w:ascii="仿宋_GB2312" w:eastAsia="黑体"/>
          <w:bCs/>
          <w:color w:val="000000" w:themeColor="text1"/>
          <w:sz w:val="32"/>
          <w:szCs w:val="32"/>
          <w:lang w:eastAsia="zh-CN"/>
          <w14:textFill>
            <w14:solidFill>
              <w14:schemeClr w14:val="tx1"/>
            </w14:solidFill>
          </w14:textFill>
        </w:rPr>
        <w:t>【</w:t>
      </w:r>
      <w:r>
        <w:rPr>
          <w:rFonts w:hint="eastAsia" w:ascii="仿宋_GB2312" w:eastAsia="黑体"/>
          <w:bCs/>
          <w:color w:val="000000" w:themeColor="text1"/>
          <w:sz w:val="32"/>
          <w:szCs w:val="32"/>
          <w:lang w:val="en-US" w:eastAsia="zh-CN"/>
          <w14:textFill>
            <w14:solidFill>
              <w14:schemeClr w14:val="tx1"/>
            </w14:solidFill>
          </w14:textFill>
        </w:rPr>
        <w:t>法律责任引致条款</w:t>
      </w:r>
      <w:r>
        <w:rPr>
          <w:rFonts w:hint="eastAsia" w:ascii="仿宋_GB2312" w:eastAsia="黑体"/>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sz w:val="32"/>
          <w:szCs w:val="32"/>
        </w:rPr>
        <w:t>违反本条例规定的其他行为，法律、行政法规已有处罚规定的，从其规定。</w:t>
      </w:r>
      <w:r>
        <w:rPr>
          <w:rFonts w:hint="eastAsia" w:ascii="仿宋_GB2312" w:hAnsi="仿宋_GB2312" w:eastAsia="黑体" w:cs="仿宋_GB2312"/>
          <w:kern w:val="0"/>
        </w:rPr>
        <w:t xml:space="preserve"> </w:t>
      </w:r>
    </w:p>
    <w:p w14:paraId="7C11DD27">
      <w:pPr>
        <w:autoSpaceDE w:val="0"/>
        <w:adjustRightInd w:val="0"/>
        <w:snapToGrid w:val="0"/>
        <w:spacing w:before="156" w:beforeLines="50" w:after="156" w:afterLines="50" w:line="560" w:lineRule="exact"/>
        <w:jc w:val="center"/>
        <w:rPr>
          <w:rFonts w:ascii="仿宋_GB2312" w:hAnsi="仿宋_GB2312"/>
          <w:color w:val="000000"/>
        </w:rPr>
      </w:pPr>
      <w:r>
        <w:rPr>
          <w:rFonts w:hint="eastAsia" w:ascii="黑体" w:hAnsi="黑体" w:eastAsia="黑体"/>
          <w:color w:val="000000"/>
        </w:rPr>
        <w:t>第</w:t>
      </w:r>
      <w:r>
        <w:rPr>
          <w:rFonts w:hint="eastAsia" w:ascii="黑体" w:hAnsi="黑体" w:eastAsia="黑体"/>
          <w:color w:val="000000"/>
          <w:lang w:eastAsia="zh-CN"/>
        </w:rPr>
        <w:t>五</w:t>
      </w:r>
      <w:r>
        <w:rPr>
          <w:rFonts w:hint="eastAsia" w:ascii="黑体" w:hAnsi="黑体" w:eastAsia="黑体"/>
          <w:color w:val="000000"/>
        </w:rPr>
        <w:t>章  附    则</w:t>
      </w:r>
    </w:p>
    <w:p w14:paraId="5A02ABC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val="en-US" w:eastAsia="zh-CN"/>
        </w:rPr>
        <w:t>第三十七条【制定实施办法】</w:t>
      </w:r>
      <w:r>
        <w:rPr>
          <w:rFonts w:hint="eastAsia" w:ascii="仿宋_GB2312" w:hAnsi="仿宋_GB2312" w:eastAsia="仿宋_GB2312" w:cs="仿宋_GB2312"/>
          <w:sz w:val="32"/>
          <w:szCs w:val="32"/>
          <w:lang w:val="en-US" w:eastAsia="zh-CN"/>
        </w:rPr>
        <w:t>市、县（市、区）人民政府应当结合实际情况，根据本条例制定实施办法。</w:t>
      </w:r>
    </w:p>
    <w:p w14:paraId="5F19E835">
      <w:pPr>
        <w:pStyle w:val="7"/>
        <w:autoSpaceDN/>
        <w:spacing w:line="560" w:lineRule="exact"/>
        <w:ind w:firstLine="640" w:firstLineChars="200"/>
        <w:jc w:val="both"/>
        <w:rPr>
          <w:rFonts w:ascii="黑体" w:hAnsi="黑体" w:eastAsia="黑体"/>
          <w:sz w:val="32"/>
          <w:szCs w:val="32"/>
        </w:rPr>
      </w:pPr>
      <w:r>
        <w:rPr>
          <w:rFonts w:hint="eastAsia" w:ascii="黑体" w:hAnsi="黑体" w:eastAsia="黑体"/>
          <w:sz w:val="32"/>
          <w:szCs w:val="32"/>
        </w:rPr>
        <w:t>第三十</w:t>
      </w:r>
      <w:r>
        <w:rPr>
          <w:rFonts w:hint="eastAsia" w:ascii="黑体" w:hAnsi="黑体" w:eastAsia="黑体"/>
          <w:sz w:val="32"/>
          <w:szCs w:val="32"/>
          <w:lang w:val="en-US" w:eastAsia="zh-CN"/>
        </w:rPr>
        <w:t>八</w:t>
      </w:r>
      <w:r>
        <w:rPr>
          <w:rFonts w:hint="eastAsia" w:ascii="黑体" w:hAnsi="黑体" w:eastAsia="黑体"/>
          <w:bCs/>
          <w:sz w:val="32"/>
          <w:szCs w:val="32"/>
        </w:rPr>
        <w:t>条</w:t>
      </w:r>
      <w:r>
        <w:rPr>
          <w:rFonts w:hint="eastAsia" w:ascii="黑体" w:hAnsi="黑体" w:eastAsia="黑体"/>
          <w:bCs/>
          <w:sz w:val="32"/>
          <w:szCs w:val="32"/>
          <w:lang w:eastAsia="zh-CN"/>
        </w:rPr>
        <w:t>【</w:t>
      </w:r>
      <w:r>
        <w:rPr>
          <w:rFonts w:hint="eastAsia" w:ascii="黑体" w:hAnsi="黑体" w:eastAsia="黑体"/>
          <w:bCs/>
          <w:sz w:val="32"/>
          <w:szCs w:val="32"/>
          <w:lang w:val="en-US" w:eastAsia="zh-CN"/>
        </w:rPr>
        <w:t>实施日期</w:t>
      </w:r>
      <w:r>
        <w:rPr>
          <w:rFonts w:hint="eastAsia" w:ascii="黑体" w:hAnsi="黑体" w:eastAsia="黑体"/>
          <w:bCs/>
          <w:sz w:val="32"/>
          <w:szCs w:val="32"/>
          <w:lang w:eastAsia="zh-CN"/>
        </w:rPr>
        <w:t>】</w:t>
      </w:r>
      <w:r>
        <w:rPr>
          <w:rFonts w:ascii="仿宋_GB2312" w:hAnsi="仿宋_GB2312" w:eastAsia="仿宋"/>
          <w:kern w:val="2"/>
          <w:sz w:val="32"/>
          <w:szCs w:val="32"/>
        </w:rPr>
        <w:t>本条例自</w:t>
      </w:r>
      <w:r>
        <w:rPr>
          <w:rFonts w:hint="eastAsia" w:ascii="仿宋" w:hAnsi="仿宋" w:eastAsia="仿宋"/>
          <w:kern w:val="2"/>
          <w:sz w:val="32"/>
          <w:szCs w:val="32"/>
        </w:rPr>
        <w:t xml:space="preserve">   </w:t>
      </w:r>
      <w:r>
        <w:rPr>
          <w:rFonts w:ascii="仿宋" w:hAnsi="仿宋" w:eastAsia="仿宋"/>
          <w:kern w:val="2"/>
          <w:sz w:val="32"/>
          <w:szCs w:val="32"/>
        </w:rPr>
        <w:t>年</w:t>
      </w:r>
      <w:r>
        <w:rPr>
          <w:rFonts w:hint="eastAsia" w:ascii="仿宋" w:hAnsi="仿宋" w:eastAsia="仿宋"/>
          <w:kern w:val="2"/>
          <w:sz w:val="32"/>
          <w:szCs w:val="32"/>
        </w:rPr>
        <w:t xml:space="preserve">  </w:t>
      </w:r>
      <w:r>
        <w:rPr>
          <w:rFonts w:ascii="仿宋" w:hAnsi="仿宋" w:eastAsia="仿宋"/>
          <w:kern w:val="2"/>
          <w:sz w:val="32"/>
          <w:szCs w:val="32"/>
        </w:rPr>
        <w:t>月</w:t>
      </w:r>
      <w:r>
        <w:rPr>
          <w:rFonts w:hint="eastAsia" w:ascii="仿宋" w:hAnsi="仿宋" w:eastAsia="仿宋"/>
          <w:kern w:val="2"/>
          <w:sz w:val="32"/>
          <w:szCs w:val="32"/>
        </w:rPr>
        <w:t xml:space="preserve">  </w:t>
      </w:r>
      <w:r>
        <w:rPr>
          <w:rFonts w:ascii="仿宋" w:hAnsi="仿宋" w:eastAsia="仿宋"/>
          <w:kern w:val="2"/>
          <w:sz w:val="32"/>
          <w:szCs w:val="32"/>
        </w:rPr>
        <w:t>日</w:t>
      </w:r>
      <w:r>
        <w:rPr>
          <w:rFonts w:ascii="仿宋_GB2312" w:hAnsi="仿宋_GB2312" w:eastAsia="仿宋"/>
          <w:kern w:val="2"/>
          <w:sz w:val="32"/>
          <w:szCs w:val="32"/>
        </w:rPr>
        <w:t>起施行</w:t>
      </w:r>
      <w:r>
        <w:rPr>
          <w:rFonts w:hint="eastAsia" w:ascii="仿宋_GB2312" w:hAnsi="仿宋_GB2312" w:eastAsia="仿宋"/>
          <w:kern w:val="2"/>
          <w:sz w:val="32"/>
          <w:szCs w:val="32"/>
        </w:rPr>
        <w:t>。</w:t>
      </w:r>
    </w:p>
    <w:p w14:paraId="19F9524F"/>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Garamond">
    <w:altName w:val="PMingLiU-ExtB"/>
    <w:panose1 w:val="02020404030301010803"/>
    <w:charset w:val="00"/>
    <w:family w:val="roman"/>
    <w:pitch w:val="default"/>
    <w:sig w:usb0="00000000"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772A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4C684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C4C684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D9A6D0"/>
    <w:multiLevelType w:val="singleLevel"/>
    <w:tmpl w:val="2FD9A6D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yNTk5MjIzZmNlYTYwMDVjMjEzOTk0ZjM4NGViMWMifQ=="/>
  </w:docVars>
  <w:rsids>
    <w:rsidRoot w:val="00186200"/>
    <w:rsid w:val="00016C61"/>
    <w:rsid w:val="00186200"/>
    <w:rsid w:val="00384E19"/>
    <w:rsid w:val="007D1F82"/>
    <w:rsid w:val="00C91C98"/>
    <w:rsid w:val="00E63E82"/>
    <w:rsid w:val="02387724"/>
    <w:rsid w:val="029E47E7"/>
    <w:rsid w:val="02A363DC"/>
    <w:rsid w:val="02DD52DC"/>
    <w:rsid w:val="02EC7D56"/>
    <w:rsid w:val="04001E75"/>
    <w:rsid w:val="04EC22F5"/>
    <w:rsid w:val="071F6790"/>
    <w:rsid w:val="0763132B"/>
    <w:rsid w:val="0796181F"/>
    <w:rsid w:val="08F246A7"/>
    <w:rsid w:val="0A583029"/>
    <w:rsid w:val="0A90786E"/>
    <w:rsid w:val="0B884C29"/>
    <w:rsid w:val="0C3B1C9C"/>
    <w:rsid w:val="0C6F5DE9"/>
    <w:rsid w:val="0CA35A93"/>
    <w:rsid w:val="0D044C05"/>
    <w:rsid w:val="10AB4F16"/>
    <w:rsid w:val="110034B4"/>
    <w:rsid w:val="13C14FB8"/>
    <w:rsid w:val="13F33B15"/>
    <w:rsid w:val="14D32FC5"/>
    <w:rsid w:val="1588590C"/>
    <w:rsid w:val="158D75F4"/>
    <w:rsid w:val="1687396F"/>
    <w:rsid w:val="16A26BF5"/>
    <w:rsid w:val="17D31922"/>
    <w:rsid w:val="184C53EC"/>
    <w:rsid w:val="18E35B95"/>
    <w:rsid w:val="19445801"/>
    <w:rsid w:val="1992177B"/>
    <w:rsid w:val="19C90E87"/>
    <w:rsid w:val="19CF0F97"/>
    <w:rsid w:val="1B0C6678"/>
    <w:rsid w:val="1B3817B0"/>
    <w:rsid w:val="1BE309FB"/>
    <w:rsid w:val="1ED34450"/>
    <w:rsid w:val="212B5A22"/>
    <w:rsid w:val="229E018C"/>
    <w:rsid w:val="235651B5"/>
    <w:rsid w:val="24ED56A6"/>
    <w:rsid w:val="24F07ADA"/>
    <w:rsid w:val="2656067D"/>
    <w:rsid w:val="26EB3E67"/>
    <w:rsid w:val="27122B6E"/>
    <w:rsid w:val="28416434"/>
    <w:rsid w:val="292813A2"/>
    <w:rsid w:val="29980A92"/>
    <w:rsid w:val="2B304556"/>
    <w:rsid w:val="2BE55328"/>
    <w:rsid w:val="2BED1D92"/>
    <w:rsid w:val="2C3B3EB4"/>
    <w:rsid w:val="2D0425D3"/>
    <w:rsid w:val="2D216FDF"/>
    <w:rsid w:val="2D730E82"/>
    <w:rsid w:val="2ED3590C"/>
    <w:rsid w:val="2EDF2503"/>
    <w:rsid w:val="30032221"/>
    <w:rsid w:val="30DF67EA"/>
    <w:rsid w:val="319B100D"/>
    <w:rsid w:val="31CC06C0"/>
    <w:rsid w:val="32A60765"/>
    <w:rsid w:val="33626EA4"/>
    <w:rsid w:val="35603C00"/>
    <w:rsid w:val="358F7C6F"/>
    <w:rsid w:val="364E45F5"/>
    <w:rsid w:val="36F710B8"/>
    <w:rsid w:val="37811F77"/>
    <w:rsid w:val="37E660F5"/>
    <w:rsid w:val="38064FA4"/>
    <w:rsid w:val="386F66A6"/>
    <w:rsid w:val="38E30E42"/>
    <w:rsid w:val="39F03816"/>
    <w:rsid w:val="3A2C50BE"/>
    <w:rsid w:val="3A427935"/>
    <w:rsid w:val="3B951E15"/>
    <w:rsid w:val="3C5F16DF"/>
    <w:rsid w:val="3DC71C84"/>
    <w:rsid w:val="3E8B4D76"/>
    <w:rsid w:val="3F645042"/>
    <w:rsid w:val="3FF36290"/>
    <w:rsid w:val="4012098A"/>
    <w:rsid w:val="40295CD4"/>
    <w:rsid w:val="40A73D94"/>
    <w:rsid w:val="42DA5063"/>
    <w:rsid w:val="42ED3DDC"/>
    <w:rsid w:val="43CF0F29"/>
    <w:rsid w:val="44000AFA"/>
    <w:rsid w:val="44915BF6"/>
    <w:rsid w:val="44C61D43"/>
    <w:rsid w:val="460A3EB2"/>
    <w:rsid w:val="4636752B"/>
    <w:rsid w:val="46D87B0C"/>
    <w:rsid w:val="46E05E12"/>
    <w:rsid w:val="47732328"/>
    <w:rsid w:val="4820176A"/>
    <w:rsid w:val="48F36E7F"/>
    <w:rsid w:val="4BAD5A0B"/>
    <w:rsid w:val="4EFB4CDF"/>
    <w:rsid w:val="50332802"/>
    <w:rsid w:val="504319D9"/>
    <w:rsid w:val="51180236"/>
    <w:rsid w:val="51277EC3"/>
    <w:rsid w:val="52E93D38"/>
    <w:rsid w:val="53144AF9"/>
    <w:rsid w:val="53722238"/>
    <w:rsid w:val="53D30693"/>
    <w:rsid w:val="53F747D0"/>
    <w:rsid w:val="54062852"/>
    <w:rsid w:val="542021C6"/>
    <w:rsid w:val="545B1E01"/>
    <w:rsid w:val="54AC76D7"/>
    <w:rsid w:val="55AD03B6"/>
    <w:rsid w:val="55BB0D24"/>
    <w:rsid w:val="55C641DC"/>
    <w:rsid w:val="5627460C"/>
    <w:rsid w:val="564876A5"/>
    <w:rsid w:val="567D422C"/>
    <w:rsid w:val="574722CB"/>
    <w:rsid w:val="58DC7930"/>
    <w:rsid w:val="59690EB2"/>
    <w:rsid w:val="5A290201"/>
    <w:rsid w:val="5B863B83"/>
    <w:rsid w:val="5BEC7E8A"/>
    <w:rsid w:val="5C49774E"/>
    <w:rsid w:val="5D965833"/>
    <w:rsid w:val="5EE035AA"/>
    <w:rsid w:val="5F10622C"/>
    <w:rsid w:val="5F5D4BFA"/>
    <w:rsid w:val="5F886D10"/>
    <w:rsid w:val="60B73ECE"/>
    <w:rsid w:val="61040A98"/>
    <w:rsid w:val="62181A26"/>
    <w:rsid w:val="629A14E5"/>
    <w:rsid w:val="62E80FD9"/>
    <w:rsid w:val="633835AD"/>
    <w:rsid w:val="63633621"/>
    <w:rsid w:val="638B59F6"/>
    <w:rsid w:val="641763FE"/>
    <w:rsid w:val="651A51DF"/>
    <w:rsid w:val="653664F2"/>
    <w:rsid w:val="66244EA2"/>
    <w:rsid w:val="67606591"/>
    <w:rsid w:val="68207733"/>
    <w:rsid w:val="683007E0"/>
    <w:rsid w:val="68395ED2"/>
    <w:rsid w:val="6A0B1648"/>
    <w:rsid w:val="6A9F07BD"/>
    <w:rsid w:val="6BC96430"/>
    <w:rsid w:val="6C001687"/>
    <w:rsid w:val="6C247F7B"/>
    <w:rsid w:val="6D0B5827"/>
    <w:rsid w:val="6D417C1F"/>
    <w:rsid w:val="6D7F4976"/>
    <w:rsid w:val="6D806684"/>
    <w:rsid w:val="6DDA7806"/>
    <w:rsid w:val="6EC66FF4"/>
    <w:rsid w:val="6ECD491E"/>
    <w:rsid w:val="703A1AC1"/>
    <w:rsid w:val="707C673E"/>
    <w:rsid w:val="70C60851"/>
    <w:rsid w:val="72636DB3"/>
    <w:rsid w:val="744F5D3C"/>
    <w:rsid w:val="75143624"/>
    <w:rsid w:val="75497CA3"/>
    <w:rsid w:val="75F26B1F"/>
    <w:rsid w:val="76E31CD7"/>
    <w:rsid w:val="77386378"/>
    <w:rsid w:val="78523F11"/>
    <w:rsid w:val="79AD19D0"/>
    <w:rsid w:val="79B966FA"/>
    <w:rsid w:val="7A036672"/>
    <w:rsid w:val="7C991510"/>
    <w:rsid w:val="7CDA3E99"/>
    <w:rsid w:val="7D151485"/>
    <w:rsid w:val="7E195E61"/>
    <w:rsid w:val="7E4F3EAA"/>
    <w:rsid w:val="7EA30424"/>
    <w:rsid w:val="7EE37854"/>
    <w:rsid w:val="7F3F52D4"/>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Garamond" w:hAnsi="Garamond" w:eastAsia="仿宋" w:cs="Times New Roman"/>
      <w:kern w:val="2"/>
      <w:sz w:val="32"/>
      <w:szCs w:val="32"/>
      <w:lang w:val="en-US" w:eastAsia="zh-CN" w:bidi="ar-SA"/>
    </w:rPr>
  </w:style>
  <w:style w:type="paragraph" w:styleId="2">
    <w:name w:val="heading 3"/>
    <w:basedOn w:val="1"/>
    <w:next w:val="1"/>
    <w:link w:val="8"/>
    <w:autoRedefine/>
    <w:semiHidden/>
    <w:unhideWhenUsed/>
    <w:qFormat/>
    <w:uiPriority w:val="9"/>
    <w:pPr>
      <w:keepNext/>
      <w:keepLines/>
      <w:spacing w:before="260" w:after="260" w:line="416" w:lineRule="auto"/>
      <w:outlineLvl w:val="2"/>
    </w:pPr>
    <w:rPr>
      <w:b/>
      <w:bCs/>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Default"/>
    <w:basedOn w:val="1"/>
    <w:autoRedefine/>
    <w:semiHidden/>
    <w:qFormat/>
    <w:uiPriority w:val="0"/>
    <w:pPr>
      <w:autoSpaceDE w:val="0"/>
      <w:autoSpaceDN w:val="0"/>
      <w:adjustRightInd w:val="0"/>
      <w:jc w:val="left"/>
    </w:pPr>
    <w:rPr>
      <w:rFonts w:ascii="方正仿宋_GBK" w:hAnsi="方正仿宋_GBK" w:eastAsia="宋体"/>
      <w:color w:val="000000"/>
      <w:kern w:val="0"/>
      <w:sz w:val="24"/>
      <w:szCs w:val="24"/>
    </w:rPr>
  </w:style>
  <w:style w:type="character" w:customStyle="1" w:styleId="8">
    <w:name w:val="标题 3 字符"/>
    <w:basedOn w:val="6"/>
    <w:link w:val="2"/>
    <w:autoRedefine/>
    <w:semiHidden/>
    <w:qFormat/>
    <w:uiPriority w:val="9"/>
    <w:rPr>
      <w:rFonts w:ascii="Garamond" w:hAnsi="Garamond" w:eastAsia="仿宋" w:cs="Times New Roman"/>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5536</Words>
  <Characters>5536</Characters>
  <Lines>33</Lines>
  <Paragraphs>9</Paragraphs>
  <TotalTime>1</TotalTime>
  <ScaleCrop>false</ScaleCrop>
  <LinksUpToDate>false</LinksUpToDate>
  <CharactersWithSpaces>5585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2024-05-16T08:56:00Z</dcterms:created>
  <dc:creator>Administrator</dc:creator>
  <cp:lastModifiedBy>WPS_1627797956</cp:lastModifiedBy>
  <dcterms:modified xsi:type="dcterms:W3CDTF">2024-11-11T06:53:39Z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7EBCEBAE71B1454DAF00B861FAA3474E_13</vt:lpwstr>
  </property>
</Properties>
</file>