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520" w:lineRule="exact"/>
        <w:jc w:val="center"/>
        <w:rPr>
          <w:rFonts w:hint="eastAsia" w:ascii="方正小标宋简体" w:hAnsi="Times New Roman" w:eastAsia="方正小标宋简体" w:cs="Times New Roman"/>
          <w:w w:val="90"/>
          <w:sz w:val="52"/>
          <w:szCs w:val="52"/>
        </w:rPr>
      </w:pPr>
    </w:p>
    <w:p>
      <w:pPr>
        <w:overflowPunct w:val="0"/>
        <w:spacing w:line="520" w:lineRule="exact"/>
        <w:jc w:val="center"/>
        <w:rPr>
          <w:rFonts w:hint="eastAsia" w:ascii="方正小标宋简体" w:hAnsi="Times New Roman" w:eastAsia="方正小标宋简体" w:cs="Times New Roman"/>
          <w:w w:val="90"/>
          <w:sz w:val="52"/>
          <w:szCs w:val="52"/>
        </w:rPr>
      </w:pPr>
      <w:r>
        <w:rPr>
          <w:rFonts w:hint="eastAsia" w:ascii="方正小标宋简体" w:hAnsi="Times New Roman" w:eastAsia="方正小标宋简体" w:cs="Times New Roman"/>
          <w:w w:val="90"/>
          <w:sz w:val="52"/>
          <w:szCs w:val="52"/>
        </w:rPr>
        <w:t>强制登报公告事项清单汇总表</w:t>
      </w:r>
    </w:p>
    <w:tbl>
      <w:tblPr>
        <w:tblStyle w:val="5"/>
        <w:tblW w:w="14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2373"/>
        <w:gridCol w:w="5755"/>
        <w:gridCol w:w="818"/>
        <w:gridCol w:w="886"/>
        <w:gridCol w:w="900"/>
        <w:gridCol w:w="1173"/>
        <w:gridCol w:w="954"/>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ind w:leftChars="0"/>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序号</w:t>
            </w:r>
          </w:p>
        </w:tc>
        <w:tc>
          <w:tcPr>
            <w:tcW w:w="2373"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rPr>
              <w:t>强制登报公告事项</w:t>
            </w:r>
            <w:r>
              <w:rPr>
                <w:rFonts w:hint="eastAsia" w:ascii="黑体" w:hAnsi="黑体" w:eastAsia="黑体" w:cs="黑体"/>
                <w:b/>
                <w:bCs/>
                <w:color w:val="000000"/>
                <w:sz w:val="24"/>
                <w:szCs w:val="24"/>
                <w:lang w:eastAsia="zh-CN"/>
              </w:rPr>
              <w:t>名称</w:t>
            </w:r>
          </w:p>
        </w:tc>
        <w:tc>
          <w:tcPr>
            <w:tcW w:w="5755"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auto"/>
                <w:sz w:val="24"/>
                <w:szCs w:val="24"/>
                <w:vertAlign w:val="baseline"/>
                <w:lang w:eastAsia="zh-CN"/>
              </w:rPr>
            </w:pPr>
            <w:r>
              <w:rPr>
                <w:rFonts w:hint="eastAsia" w:ascii="黑体" w:hAnsi="黑体" w:eastAsia="黑体" w:cs="黑体"/>
                <w:b/>
                <w:bCs/>
                <w:color w:val="auto"/>
                <w:sz w:val="24"/>
                <w:szCs w:val="24"/>
                <w:vertAlign w:val="baseline"/>
                <w:lang w:eastAsia="zh-CN"/>
              </w:rPr>
              <w:t>设</w:t>
            </w:r>
            <w:r>
              <w:rPr>
                <w:rFonts w:hint="eastAsia" w:ascii="黑体" w:hAnsi="黑体" w:eastAsia="黑体" w:cs="黑体"/>
                <w:b/>
                <w:bCs/>
                <w:color w:val="auto"/>
                <w:sz w:val="24"/>
                <w:szCs w:val="24"/>
                <w:vertAlign w:val="baseline"/>
                <w:lang w:val="en-US" w:eastAsia="zh-CN"/>
              </w:rPr>
              <w:t xml:space="preserve">   </w:t>
            </w:r>
            <w:r>
              <w:rPr>
                <w:rFonts w:hint="eastAsia" w:ascii="黑体" w:hAnsi="黑体" w:eastAsia="黑体" w:cs="黑体"/>
                <w:b/>
                <w:bCs/>
                <w:color w:val="auto"/>
                <w:sz w:val="24"/>
                <w:szCs w:val="24"/>
                <w:vertAlign w:val="baseline"/>
                <w:lang w:eastAsia="zh-CN"/>
              </w:rPr>
              <w:t>定</w:t>
            </w:r>
            <w:r>
              <w:rPr>
                <w:rFonts w:hint="eastAsia" w:ascii="黑体" w:hAnsi="黑体" w:eastAsia="黑体" w:cs="黑体"/>
                <w:b/>
                <w:bCs/>
                <w:color w:val="auto"/>
                <w:sz w:val="24"/>
                <w:szCs w:val="24"/>
                <w:vertAlign w:val="baseline"/>
                <w:lang w:val="en-US" w:eastAsia="zh-CN"/>
              </w:rPr>
              <w:t xml:space="preserve">   </w:t>
            </w:r>
            <w:r>
              <w:rPr>
                <w:rFonts w:hint="eastAsia" w:ascii="黑体" w:hAnsi="黑体" w:eastAsia="黑体" w:cs="黑体"/>
                <w:b/>
                <w:bCs/>
                <w:color w:val="auto"/>
                <w:sz w:val="24"/>
                <w:szCs w:val="24"/>
                <w:vertAlign w:val="baseline"/>
                <w:lang w:eastAsia="zh-CN"/>
              </w:rPr>
              <w:t>依</w:t>
            </w:r>
            <w:r>
              <w:rPr>
                <w:rFonts w:hint="eastAsia" w:ascii="黑体" w:hAnsi="黑体" w:eastAsia="黑体" w:cs="黑体"/>
                <w:b/>
                <w:bCs/>
                <w:color w:val="auto"/>
                <w:sz w:val="24"/>
                <w:szCs w:val="24"/>
                <w:vertAlign w:val="baseline"/>
                <w:lang w:val="en-US" w:eastAsia="zh-CN"/>
              </w:rPr>
              <w:t xml:space="preserve">   </w:t>
            </w:r>
            <w:r>
              <w:rPr>
                <w:rFonts w:hint="eastAsia" w:ascii="黑体" w:hAnsi="黑体" w:eastAsia="黑体" w:cs="黑体"/>
                <w:b/>
                <w:bCs/>
                <w:color w:val="auto"/>
                <w:sz w:val="24"/>
                <w:szCs w:val="24"/>
                <w:vertAlign w:val="baseline"/>
                <w:lang w:eastAsia="zh-CN"/>
              </w:rPr>
              <w:t>据</w:t>
            </w:r>
          </w:p>
        </w:tc>
        <w:tc>
          <w:tcPr>
            <w:tcW w:w="818"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索要</w:t>
            </w:r>
          </w:p>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单位</w:t>
            </w:r>
          </w:p>
        </w:tc>
        <w:tc>
          <w:tcPr>
            <w:tcW w:w="8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实施层级</w:t>
            </w:r>
          </w:p>
        </w:tc>
        <w:tc>
          <w:tcPr>
            <w:tcW w:w="900"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实施</w:t>
            </w:r>
          </w:p>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对象</w:t>
            </w:r>
          </w:p>
        </w:tc>
        <w:tc>
          <w:tcPr>
            <w:tcW w:w="1173"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公告</w:t>
            </w:r>
          </w:p>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媒体</w:t>
            </w:r>
          </w:p>
        </w:tc>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费用承</w:t>
            </w:r>
          </w:p>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担主体</w:t>
            </w: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jc w:val="center"/>
              <w:rPr>
                <w:rFonts w:hint="eastAsia" w:ascii="黑体" w:hAnsi="黑体" w:eastAsia="黑体" w:cs="黑体"/>
                <w:b/>
                <w:bCs/>
                <w:color w:val="000000"/>
                <w:sz w:val="24"/>
                <w:szCs w:val="24"/>
                <w:vertAlign w:val="baseline"/>
                <w:lang w:eastAsia="zh-CN"/>
              </w:rPr>
            </w:pPr>
            <w:r>
              <w:rPr>
                <w:rFonts w:hint="eastAsia" w:ascii="黑体" w:hAnsi="黑体" w:eastAsia="黑体" w:cs="黑体"/>
                <w:b/>
                <w:bCs/>
                <w:color w:val="000000"/>
                <w:sz w:val="24"/>
                <w:szCs w:val="24"/>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0"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425" w:leftChars="0" w:hanging="425" w:firstLineChars="0"/>
              <w:jc w:val="center"/>
              <w:textAlignment w:val="auto"/>
              <w:rPr>
                <w:rFonts w:hint="eastAsia" w:ascii="仿宋" w:hAnsi="仿宋" w:eastAsia="仿宋" w:cs="仿宋"/>
                <w:b/>
                <w:bCs/>
                <w:sz w:val="24"/>
                <w:szCs w:val="24"/>
                <w:vertAlign w:val="baseline"/>
                <w:lang w:val="en-US" w:eastAsia="zh-CN"/>
              </w:rPr>
            </w:pPr>
          </w:p>
        </w:tc>
        <w:tc>
          <w:tcPr>
            <w:tcW w:w="2373" w:type="dxa"/>
            <w:vAlign w:val="center"/>
          </w:tcPr>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建设项目环境影响报告书公参说明</w:t>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仿宋" w:hAnsi="仿宋" w:eastAsia="仿宋" w:cs="仿宋"/>
                <w:sz w:val="24"/>
                <w:szCs w:val="24"/>
                <w:vertAlign w:val="baseline"/>
                <w:lang w:eastAsia="zh-CN"/>
              </w:rPr>
            </w:pPr>
          </w:p>
        </w:tc>
        <w:tc>
          <w:tcPr>
            <w:tcW w:w="5755" w:type="dxa"/>
            <w:vAlign w:val="center"/>
          </w:tcPr>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《环境影响评价公众参与办法》</w:t>
            </w:r>
            <w:r>
              <w:rPr>
                <w:rFonts w:hint="eastAsia" w:ascii="仿宋" w:hAnsi="仿宋" w:eastAsia="仿宋" w:cs="仿宋"/>
                <w:b/>
                <w:bCs/>
                <w:color w:val="auto"/>
                <w:sz w:val="24"/>
                <w:szCs w:val="24"/>
              </w:rPr>
              <w:t>第九条</w:t>
            </w:r>
            <w:r>
              <w:rPr>
                <w:rFonts w:hint="eastAsia" w:ascii="仿宋" w:hAnsi="仿宋" w:eastAsia="仿宋" w:cs="仿宋"/>
                <w:color w:val="auto"/>
                <w:sz w:val="24"/>
                <w:szCs w:val="24"/>
              </w:rPr>
              <w:t>建设单位应当在确定环境影响报告书编制单位后7个工作日内，通过其网站、建设项目所在地公共媒体网站或者建设项目所在地相关政府网站，公开下列信息:(一)建设项目名称、选址选线、建设内容等基本情况，改建、扩建、迁建项目应当说明现有工程及其环境保护情况;(二)建设单位名称和联系方式;(三)环境影响报告书编制单位的名称;(四)公众意见表的网络</w:t>
            </w:r>
            <w:r>
              <w:rPr>
                <w:rFonts w:hint="eastAsia" w:ascii="仿宋" w:hAnsi="仿宋" w:eastAsia="仿宋" w:cs="仿宋"/>
                <w:color w:val="auto"/>
                <w:sz w:val="24"/>
                <w:szCs w:val="24"/>
                <w:lang w:eastAsia="zh-CN"/>
              </w:rPr>
              <w:t>链</w:t>
            </w:r>
            <w:r>
              <w:rPr>
                <w:rFonts w:hint="eastAsia" w:ascii="仿宋" w:hAnsi="仿宋" w:eastAsia="仿宋" w:cs="仿宋"/>
                <w:color w:val="auto"/>
                <w:sz w:val="24"/>
                <w:szCs w:val="24"/>
              </w:rPr>
              <w:t>接;(五)提交公众意见表的方式和途径。</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第十条</w:t>
            </w:r>
            <w:r>
              <w:rPr>
                <w:rFonts w:hint="eastAsia" w:ascii="仿宋" w:hAnsi="仿宋" w:eastAsia="仿宋" w:cs="仿宋"/>
                <w:color w:val="auto"/>
                <w:sz w:val="24"/>
                <w:szCs w:val="24"/>
              </w:rPr>
              <w:t>建设项目环境</w:t>
            </w:r>
            <w:bookmarkStart w:id="0" w:name="_GoBack"/>
            <w:bookmarkEnd w:id="0"/>
            <w:r>
              <w:rPr>
                <w:rFonts w:hint="eastAsia" w:ascii="仿宋" w:hAnsi="仿宋" w:eastAsia="仿宋" w:cs="仿宋"/>
                <w:color w:val="auto"/>
                <w:sz w:val="24"/>
                <w:szCs w:val="24"/>
              </w:rPr>
              <w:t>影响报告书征求意见稿形成后，建设单位应当公开下列信息，征求与该建设项目环境影响有关的意见:(一)环境影响报告书征求意见稿全文的网络链接及查阅纸质报告书的方式和途径;(二)征求意见的公众范围;(三)公众意见表的网络</w:t>
            </w:r>
            <w:r>
              <w:rPr>
                <w:rFonts w:hint="eastAsia" w:ascii="仿宋" w:hAnsi="仿宋" w:eastAsia="仿宋" w:cs="仿宋"/>
                <w:color w:val="auto"/>
                <w:sz w:val="24"/>
                <w:szCs w:val="24"/>
                <w:lang w:eastAsia="zh-CN"/>
              </w:rPr>
              <w:t>链</w:t>
            </w:r>
            <w:r>
              <w:rPr>
                <w:rFonts w:hint="eastAsia" w:ascii="仿宋" w:hAnsi="仿宋" w:eastAsia="仿宋" w:cs="仿宋"/>
                <w:color w:val="auto"/>
                <w:sz w:val="24"/>
                <w:szCs w:val="24"/>
              </w:rPr>
              <w:t>接;</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(四)公众提出意见的方式和途径;(五)公众提出意见的起止时间。</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第十一条</w:t>
            </w:r>
            <w:r>
              <w:rPr>
                <w:rFonts w:hint="eastAsia" w:ascii="仿宋" w:hAnsi="仿宋" w:eastAsia="仿宋" w:cs="仿宋"/>
                <w:color w:val="auto"/>
                <w:sz w:val="24"/>
                <w:szCs w:val="24"/>
              </w:rPr>
              <w:t>依照本办法第十条规定应当公开的信息，建设单位应当通过下列三种方式同步公开:(一)通过网络平台公开，且持续公开期限不得少于10个工作日;</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通过建设项目所在地公众易于接触的报纸公开，且在征求意见的10个工作日内公开信息不得少于2次;(三)通过在建设项目所在地公众易于知悉的场所张贴公告的方式公开，且持续公开期限不得少于10个工作日。</w:t>
            </w: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vertAlign w:val="baseline"/>
                <w:lang w:val="en-US" w:eastAsia="zh-CN"/>
              </w:rPr>
              <w:t>安康市生态环境局</w:t>
            </w:r>
          </w:p>
        </w:tc>
        <w:tc>
          <w:tcPr>
            <w:tcW w:w="886" w:type="dxa"/>
            <w:vAlign w:val="center"/>
          </w:tcPr>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vertAlign w:val="baseline"/>
                <w:lang w:val="en-US" w:eastAsia="zh-CN"/>
              </w:rPr>
              <w:t>市级生态环境局</w:t>
            </w: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rPr>
              <w:t>建设单位</w:t>
            </w:r>
          </w:p>
        </w:tc>
        <w:tc>
          <w:tcPr>
            <w:tcW w:w="1173" w:type="dxa"/>
            <w:vAlign w:val="center"/>
          </w:tcPr>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建设项目所在地公众易于接触的报纸公开</w:t>
            </w:r>
          </w:p>
        </w:tc>
        <w:tc>
          <w:tcPr>
            <w:tcW w:w="954" w:type="dxa"/>
            <w:vAlign w:val="center"/>
          </w:tcPr>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vertAlign w:val="baseline"/>
                <w:lang w:val="en-US" w:eastAsia="zh-CN"/>
              </w:rPr>
              <w:t>建设单位</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vertAlign w:val="baseline"/>
                <w:lang w:val="en-US" w:eastAsia="zh-CN"/>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0" w:type="dxa"/>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12" w:lineRule="auto"/>
              <w:ind w:left="425" w:leftChars="0" w:hanging="425" w:firstLineChars="0"/>
              <w:jc w:val="center"/>
              <w:textAlignment w:val="center"/>
              <w:rPr>
                <w:rFonts w:hint="eastAsia" w:ascii="仿宋" w:hAnsi="仿宋" w:eastAsia="仿宋" w:cs="仿宋"/>
                <w:b/>
                <w:bCs/>
                <w:sz w:val="24"/>
                <w:szCs w:val="24"/>
                <w:vertAlign w:val="baseline"/>
              </w:rPr>
            </w:pPr>
          </w:p>
        </w:tc>
        <w:tc>
          <w:tcPr>
            <w:tcW w:w="23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000000"/>
                <w:kern w:val="0"/>
                <w:sz w:val="24"/>
                <w:szCs w:val="24"/>
                <w:u w:val="none"/>
                <w:lang w:val="en-US" w:eastAsia="zh-CN" w:bidi="ar"/>
              </w:rPr>
              <w:t>公司减资</w:t>
            </w:r>
          </w:p>
        </w:tc>
        <w:tc>
          <w:tcPr>
            <w:tcW w:w="5755"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left"/>
              <w:textAlignment w:val="center"/>
              <w:rPr>
                <w:rFonts w:hint="eastAsia" w:ascii="仿宋" w:hAnsi="仿宋" w:eastAsia="仿宋" w:cs="仿宋"/>
                <w:color w:val="auto"/>
                <w:sz w:val="24"/>
                <w:szCs w:val="24"/>
                <w:vertAlign w:val="baseline"/>
              </w:rPr>
            </w:pPr>
            <w:r>
              <w:rPr>
                <w:rStyle w:val="20"/>
                <w:rFonts w:hint="eastAsia" w:ascii="仿宋" w:hAnsi="仿宋" w:eastAsia="仿宋" w:cs="仿宋"/>
                <w:b/>
                <w:bCs/>
                <w:color w:val="auto"/>
                <w:sz w:val="24"/>
                <w:szCs w:val="24"/>
                <w:lang w:val="en-US" w:eastAsia="zh-CN" w:bidi="ar"/>
              </w:rPr>
              <w:t>《公司法》第177条</w:t>
            </w:r>
            <w:r>
              <w:rPr>
                <w:rStyle w:val="20"/>
                <w:rFonts w:hint="eastAsia" w:ascii="仿宋" w:hAnsi="仿宋" w:eastAsia="仿宋" w:cs="仿宋"/>
                <w:b w:val="0"/>
                <w:bCs w:val="0"/>
                <w:color w:val="auto"/>
                <w:sz w:val="24"/>
                <w:szCs w:val="24"/>
                <w:lang w:val="en-US" w:eastAsia="zh-CN" w:bidi="ar"/>
              </w:rPr>
              <w:t>规定</w:t>
            </w:r>
            <w:r>
              <w:rPr>
                <w:rStyle w:val="20"/>
                <w:rFonts w:hint="eastAsia" w:ascii="仿宋" w:hAnsi="仿宋" w:eastAsia="仿宋" w:cs="仿宋"/>
                <w:color w:val="auto"/>
                <w:sz w:val="24"/>
                <w:szCs w:val="24"/>
                <w:lang w:val="en-US" w:eastAsia="zh-CN" w:bidi="ar"/>
              </w:rPr>
              <w:t>：公司减资，</w:t>
            </w:r>
            <w:r>
              <w:rPr>
                <w:rStyle w:val="21"/>
                <w:rFonts w:hint="eastAsia" w:ascii="仿宋" w:hAnsi="仿宋" w:eastAsia="仿宋" w:cs="仿宋"/>
                <w:color w:val="auto"/>
                <w:sz w:val="24"/>
                <w:szCs w:val="24"/>
                <w:lang w:val="en-US" w:eastAsia="zh-CN" w:bidi="ar"/>
              </w:rPr>
              <w:t>公司应当自作出减少注册资本决议之日起</w:t>
            </w:r>
            <w:r>
              <w:rPr>
                <w:rStyle w:val="22"/>
                <w:rFonts w:hint="eastAsia" w:ascii="仿宋" w:hAnsi="仿宋" w:eastAsia="仿宋" w:cs="仿宋"/>
                <w:color w:val="auto"/>
                <w:sz w:val="24"/>
                <w:szCs w:val="24"/>
                <w:lang w:val="en-US" w:eastAsia="zh-CN" w:bidi="ar"/>
              </w:rPr>
              <w:t>10</w:t>
            </w:r>
            <w:r>
              <w:rPr>
                <w:rStyle w:val="21"/>
                <w:rFonts w:hint="eastAsia" w:ascii="仿宋" w:hAnsi="仿宋" w:eastAsia="仿宋" w:cs="仿宋"/>
                <w:color w:val="auto"/>
                <w:sz w:val="24"/>
                <w:szCs w:val="24"/>
                <w:lang w:val="en-US" w:eastAsia="zh-CN" w:bidi="ar"/>
              </w:rPr>
              <w:t>日内通知债权人，并于</w:t>
            </w:r>
            <w:r>
              <w:rPr>
                <w:rStyle w:val="22"/>
                <w:rFonts w:hint="eastAsia" w:ascii="仿宋" w:hAnsi="仿宋" w:eastAsia="仿宋" w:cs="仿宋"/>
                <w:color w:val="auto"/>
                <w:sz w:val="24"/>
                <w:szCs w:val="24"/>
                <w:lang w:val="en-US" w:eastAsia="zh-CN" w:bidi="ar"/>
              </w:rPr>
              <w:t>30</w:t>
            </w:r>
            <w:r>
              <w:rPr>
                <w:rStyle w:val="21"/>
                <w:rFonts w:hint="eastAsia" w:ascii="仿宋" w:hAnsi="仿宋" w:eastAsia="仿宋" w:cs="仿宋"/>
                <w:color w:val="auto"/>
                <w:sz w:val="24"/>
                <w:szCs w:val="24"/>
                <w:lang w:val="en-US" w:eastAsia="zh-CN" w:bidi="ar"/>
              </w:rPr>
              <w:t>日内在报纸上公告。</w:t>
            </w:r>
          </w:p>
        </w:tc>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安康市行政审批局</w:t>
            </w:r>
          </w:p>
        </w:tc>
        <w:tc>
          <w:tcPr>
            <w:tcW w:w="886"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市级登记机关</w:t>
            </w:r>
          </w:p>
        </w:tc>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法人</w:t>
            </w:r>
          </w:p>
        </w:tc>
        <w:tc>
          <w:tcPr>
            <w:tcW w:w="11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报纸</w:t>
            </w:r>
          </w:p>
        </w:tc>
        <w:tc>
          <w:tcPr>
            <w:tcW w:w="954"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法人</w:t>
            </w:r>
          </w:p>
        </w:tc>
        <w:tc>
          <w:tcPr>
            <w:tcW w:w="78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000000"/>
                <w:kern w:val="0"/>
                <w:sz w:val="24"/>
                <w:szCs w:val="24"/>
                <w:u w:val="none"/>
                <w:lang w:val="en-US" w:eastAsia="zh-CN" w:bidi="ar"/>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0" w:type="dxa"/>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12" w:lineRule="auto"/>
              <w:ind w:left="425" w:leftChars="0" w:hanging="425" w:firstLineChars="0"/>
              <w:jc w:val="center"/>
              <w:textAlignment w:val="center"/>
              <w:rPr>
                <w:rFonts w:hint="eastAsia" w:ascii="仿宋" w:hAnsi="仿宋" w:eastAsia="仿宋" w:cs="仿宋"/>
                <w:b/>
                <w:bCs/>
                <w:sz w:val="24"/>
                <w:szCs w:val="24"/>
                <w:vertAlign w:val="baseline"/>
              </w:rPr>
            </w:pPr>
          </w:p>
        </w:tc>
        <w:tc>
          <w:tcPr>
            <w:tcW w:w="23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公司分立</w:t>
            </w:r>
          </w:p>
        </w:tc>
        <w:tc>
          <w:tcPr>
            <w:tcW w:w="5755"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left"/>
              <w:textAlignment w:val="center"/>
              <w:rPr>
                <w:rFonts w:hint="eastAsia" w:ascii="仿宋" w:hAnsi="仿宋" w:eastAsia="仿宋" w:cs="仿宋"/>
                <w:color w:val="auto"/>
                <w:sz w:val="24"/>
                <w:szCs w:val="24"/>
                <w:vertAlign w:val="baseline"/>
              </w:rPr>
            </w:pPr>
            <w:r>
              <w:rPr>
                <w:rFonts w:hint="eastAsia" w:ascii="仿宋" w:hAnsi="仿宋" w:eastAsia="仿宋" w:cs="仿宋"/>
                <w:i w:val="0"/>
                <w:iCs w:val="0"/>
                <w:color w:val="auto"/>
                <w:kern w:val="0"/>
                <w:sz w:val="24"/>
                <w:szCs w:val="24"/>
                <w:u w:val="none"/>
                <w:lang w:val="en-US" w:eastAsia="zh-CN" w:bidi="ar"/>
              </w:rPr>
              <w:t>根据</w:t>
            </w:r>
            <w:r>
              <w:rPr>
                <w:rFonts w:hint="eastAsia" w:ascii="仿宋" w:hAnsi="仿宋" w:eastAsia="仿宋" w:cs="仿宋"/>
                <w:b/>
                <w:bCs/>
                <w:i w:val="0"/>
                <w:iCs w:val="0"/>
                <w:color w:val="auto"/>
                <w:kern w:val="0"/>
                <w:sz w:val="24"/>
                <w:szCs w:val="24"/>
                <w:u w:val="none"/>
                <w:lang w:val="en-US" w:eastAsia="zh-CN" w:bidi="ar"/>
              </w:rPr>
              <w:t>《公司法》第175条</w:t>
            </w:r>
            <w:r>
              <w:rPr>
                <w:rFonts w:hint="eastAsia" w:ascii="仿宋" w:hAnsi="仿宋" w:eastAsia="仿宋" w:cs="仿宋"/>
                <w:i w:val="0"/>
                <w:iCs w:val="0"/>
                <w:color w:val="auto"/>
                <w:kern w:val="0"/>
                <w:sz w:val="24"/>
                <w:szCs w:val="24"/>
                <w:u w:val="none"/>
                <w:lang w:val="en-US" w:eastAsia="zh-CN" w:bidi="ar"/>
              </w:rPr>
              <w:t>规定，公司应当在分立决议做出后的10日内，将分立决议通知债权人，并于30日内在报纸上公告。</w:t>
            </w:r>
          </w:p>
        </w:tc>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安康市行政审批局</w:t>
            </w:r>
          </w:p>
        </w:tc>
        <w:tc>
          <w:tcPr>
            <w:tcW w:w="886"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市级登记机关</w:t>
            </w:r>
          </w:p>
        </w:tc>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法人</w:t>
            </w:r>
          </w:p>
        </w:tc>
        <w:tc>
          <w:tcPr>
            <w:tcW w:w="11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报纸</w:t>
            </w:r>
          </w:p>
        </w:tc>
        <w:tc>
          <w:tcPr>
            <w:tcW w:w="954"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法人</w:t>
            </w:r>
          </w:p>
        </w:tc>
        <w:tc>
          <w:tcPr>
            <w:tcW w:w="78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000000"/>
                <w:kern w:val="0"/>
                <w:sz w:val="24"/>
                <w:szCs w:val="24"/>
                <w:u w:val="none"/>
                <w:lang w:val="en-US" w:eastAsia="zh-CN" w:bidi="ar"/>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7" w:hRule="atLeast"/>
          <w:jc w:val="center"/>
        </w:trPr>
        <w:tc>
          <w:tcPr>
            <w:tcW w:w="630" w:type="dxa"/>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12" w:lineRule="auto"/>
              <w:ind w:left="425" w:leftChars="0" w:hanging="425" w:firstLineChars="0"/>
              <w:jc w:val="center"/>
              <w:textAlignment w:val="center"/>
              <w:rPr>
                <w:rFonts w:hint="eastAsia" w:ascii="仿宋" w:hAnsi="仿宋" w:eastAsia="仿宋" w:cs="仿宋"/>
                <w:b/>
                <w:bCs/>
                <w:sz w:val="24"/>
                <w:szCs w:val="24"/>
                <w:vertAlign w:val="baseline"/>
              </w:rPr>
            </w:pPr>
          </w:p>
        </w:tc>
        <w:tc>
          <w:tcPr>
            <w:tcW w:w="23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放射诊疗许可证遗失补办</w:t>
            </w:r>
          </w:p>
        </w:tc>
        <w:tc>
          <w:tcPr>
            <w:tcW w:w="5755"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left"/>
              <w:textAlignment w:val="center"/>
              <w:rPr>
                <w:rFonts w:hint="eastAsia" w:ascii="仿宋" w:hAnsi="仿宋" w:eastAsia="仿宋" w:cs="仿宋"/>
                <w:color w:val="auto"/>
                <w:sz w:val="24"/>
                <w:szCs w:val="24"/>
                <w:vertAlign w:val="baseline"/>
              </w:rPr>
            </w:pPr>
            <w:r>
              <w:rPr>
                <w:rFonts w:hint="eastAsia" w:ascii="仿宋" w:hAnsi="仿宋" w:eastAsia="仿宋" w:cs="仿宋"/>
                <w:i w:val="0"/>
                <w:iCs w:val="0"/>
                <w:color w:val="auto"/>
                <w:kern w:val="0"/>
                <w:sz w:val="24"/>
                <w:szCs w:val="24"/>
                <w:u w:val="none"/>
                <w:lang w:val="en-US" w:eastAsia="zh-CN" w:bidi="ar"/>
              </w:rPr>
              <w:t>《卫生部关于印发放射诊疗许可证发放管理程序的通知》（卫监督发〔2006〕479号）</w:t>
            </w:r>
            <w:r>
              <w:rPr>
                <w:rFonts w:hint="eastAsia" w:ascii="仿宋" w:hAnsi="仿宋" w:eastAsia="仿宋" w:cs="仿宋"/>
                <w:b/>
                <w:bCs/>
                <w:i w:val="0"/>
                <w:iCs w:val="0"/>
                <w:color w:val="auto"/>
                <w:kern w:val="0"/>
                <w:sz w:val="24"/>
                <w:szCs w:val="24"/>
                <w:u w:val="none"/>
                <w:lang w:val="en-US" w:eastAsia="zh-CN" w:bidi="ar"/>
              </w:rPr>
              <w:t>第二十三条</w:t>
            </w:r>
            <w:r>
              <w:rPr>
                <w:rFonts w:hint="eastAsia" w:ascii="仿宋" w:hAnsi="仿宋" w:eastAsia="仿宋" w:cs="仿宋"/>
                <w:i w:val="0"/>
                <w:iCs w:val="0"/>
                <w:color w:val="auto"/>
                <w:kern w:val="0"/>
                <w:sz w:val="24"/>
                <w:szCs w:val="24"/>
                <w:u w:val="none"/>
                <w:lang w:val="en-US" w:eastAsia="zh-CN" w:bidi="ar"/>
              </w:rPr>
              <w:t xml:space="preserve"> 医疗机构遗失《放射诊疗许可证》，应当及时在发证机关所在地的主要报刊上刊登遗失公告，并在公告30日后的一个月内向原发证部门申请补办。</w:t>
            </w:r>
          </w:p>
        </w:tc>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安康市行政审批服务局</w:t>
            </w:r>
          </w:p>
        </w:tc>
        <w:tc>
          <w:tcPr>
            <w:tcW w:w="886"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lang w:val="en-US"/>
              </w:rPr>
            </w:pPr>
            <w:r>
              <w:rPr>
                <w:rFonts w:hint="eastAsia" w:ascii="仿宋" w:hAnsi="仿宋" w:eastAsia="仿宋" w:cs="仿宋"/>
                <w:i w:val="0"/>
                <w:iCs w:val="0"/>
                <w:color w:val="333333"/>
                <w:kern w:val="0"/>
                <w:sz w:val="24"/>
                <w:szCs w:val="24"/>
                <w:u w:val="none"/>
                <w:lang w:val="en-US" w:eastAsia="zh-CN" w:bidi="ar"/>
              </w:rPr>
              <w:t>市级行政审批局</w:t>
            </w:r>
          </w:p>
        </w:tc>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医疗机构</w:t>
            </w:r>
          </w:p>
        </w:tc>
        <w:tc>
          <w:tcPr>
            <w:tcW w:w="11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发证机关所在地的主要报刊</w:t>
            </w:r>
          </w:p>
        </w:tc>
        <w:tc>
          <w:tcPr>
            <w:tcW w:w="954"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医疗机构</w:t>
            </w:r>
          </w:p>
        </w:tc>
        <w:tc>
          <w:tcPr>
            <w:tcW w:w="78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7" w:hRule="atLeast"/>
          <w:jc w:val="center"/>
        </w:trPr>
        <w:tc>
          <w:tcPr>
            <w:tcW w:w="630" w:type="dxa"/>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12" w:lineRule="auto"/>
              <w:ind w:left="425" w:leftChars="0" w:hanging="425" w:firstLineChars="0"/>
              <w:jc w:val="center"/>
              <w:textAlignment w:val="center"/>
              <w:rPr>
                <w:rFonts w:hint="eastAsia" w:ascii="仿宋" w:hAnsi="仿宋" w:eastAsia="仿宋" w:cs="仿宋"/>
                <w:b/>
                <w:bCs/>
                <w:sz w:val="24"/>
                <w:szCs w:val="24"/>
                <w:vertAlign w:val="baseline"/>
              </w:rPr>
            </w:pPr>
          </w:p>
        </w:tc>
        <w:tc>
          <w:tcPr>
            <w:tcW w:w="23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遗失补发成品油零售经营批准证书的申报与办理</w:t>
            </w:r>
          </w:p>
        </w:tc>
        <w:tc>
          <w:tcPr>
            <w:tcW w:w="5755" w:type="dxa"/>
            <w:vAlign w:val="center"/>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12" w:lineRule="auto"/>
              <w:jc w:val="left"/>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《陕西省商务厅关于印发陕西省成品油市场管理办法 实施细则 (试行)的通知》（陕商发〔2018〕53号)第四十条　遗失补发成品油经营批准证书的申报与办理。(二)成品油零售经营企业遗失 《成品油零售经营批准证书》,应及时在省辖市级以上主要报刊登载证书遗失作废声明,1 个月后向所在县 (市、区)商务主管部门提出申请。</w:t>
            </w:r>
            <w:r>
              <w:rPr>
                <w:rFonts w:hint="eastAsia" w:ascii="仿宋" w:hAnsi="仿宋" w:eastAsia="仿宋" w:cs="仿宋"/>
                <w:i w:val="0"/>
                <w:iCs w:val="0"/>
                <w:color w:val="auto"/>
                <w:kern w:val="0"/>
                <w:sz w:val="24"/>
                <w:szCs w:val="24"/>
                <w:u w:val="none"/>
                <w:lang w:val="en-US" w:eastAsia="zh-CN" w:bidi="ar"/>
              </w:rPr>
              <w:br w:type="textWrapping"/>
            </w:r>
            <w:r>
              <w:rPr>
                <w:rFonts w:hint="eastAsia" w:ascii="仿宋" w:hAnsi="仿宋" w:eastAsia="仿宋" w:cs="仿宋"/>
                <w:i w:val="0"/>
                <w:iCs w:val="0"/>
                <w:color w:val="auto"/>
                <w:kern w:val="0"/>
                <w:sz w:val="24"/>
                <w:szCs w:val="24"/>
                <w:u w:val="none"/>
                <w:lang w:val="en-US" w:eastAsia="zh-CN" w:bidi="ar"/>
              </w:rPr>
              <w:t>2.《陕西省商务厅关于取消和下放石油成品油经验资格审批有关事项的函》（陕商函〔2020〕74号）二、下放成品油零售经营资格审批（三）审批依据。成品油零售经营资格各项审批的申请条件、申报材料、现场核查、审批期限、监督管理等事项，对照相关部门职能，暂参照省商务厅《关于印发&lt;陕西省成品油市场管理办法实施细则（试行）&gt;的通知》（陕商发（2018）53 号，以下简称陕商发〔2018）53 号文）、省商务厅等7 部门《关于进一步推动城市便利加油站建设的意见》（陕商发〔2019〕24 号）和商务部公告（2019年第 13 号）、商务部令（2019 年第1号）精神办理。</w:t>
            </w:r>
            <w:r>
              <w:rPr>
                <w:rFonts w:hint="eastAsia" w:ascii="仿宋" w:hAnsi="仿宋" w:eastAsia="仿宋" w:cs="仿宋"/>
                <w:i w:val="0"/>
                <w:iCs w:val="0"/>
                <w:color w:val="auto"/>
                <w:kern w:val="0"/>
                <w:sz w:val="24"/>
                <w:szCs w:val="24"/>
                <w:u w:val="none"/>
                <w:lang w:val="en-US" w:eastAsia="zh-CN" w:bidi="ar"/>
              </w:rPr>
              <w:br w:type="textWrapping"/>
            </w:r>
            <w:r>
              <w:rPr>
                <w:rFonts w:hint="eastAsia" w:ascii="仿宋" w:hAnsi="仿宋" w:eastAsia="仿宋" w:cs="仿宋"/>
                <w:i w:val="0"/>
                <w:iCs w:val="0"/>
                <w:color w:val="auto"/>
                <w:kern w:val="0"/>
                <w:sz w:val="24"/>
                <w:szCs w:val="24"/>
                <w:u w:val="none"/>
                <w:lang w:val="en-US" w:eastAsia="zh-CN" w:bidi="ar"/>
              </w:rPr>
              <w:t>3.《商务部办公厅关于印发石油成品油流通行业管理工作指引的通知》（商办消费函〔2020〕439 号）  12.规范零售审批。各地在未出台当地审批管理规定之前，可参照此前审批条件执行。</w:t>
            </w:r>
          </w:p>
        </w:tc>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安康市行政审批服务局</w:t>
            </w:r>
          </w:p>
        </w:tc>
        <w:tc>
          <w:tcPr>
            <w:tcW w:w="886"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lang w:val="en-US"/>
              </w:rPr>
            </w:pPr>
            <w:r>
              <w:rPr>
                <w:rFonts w:hint="eastAsia" w:ascii="仿宋" w:hAnsi="仿宋" w:eastAsia="仿宋" w:cs="仿宋"/>
                <w:i w:val="0"/>
                <w:iCs w:val="0"/>
                <w:color w:val="333333"/>
                <w:kern w:val="0"/>
                <w:sz w:val="24"/>
                <w:szCs w:val="24"/>
                <w:u w:val="none"/>
                <w:lang w:val="en-US" w:eastAsia="zh-CN" w:bidi="ar"/>
              </w:rPr>
              <w:t>市级行政审批局</w:t>
            </w:r>
          </w:p>
        </w:tc>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企业</w:t>
            </w:r>
          </w:p>
        </w:tc>
        <w:tc>
          <w:tcPr>
            <w:tcW w:w="11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省辖市级以上主要报刊登</w:t>
            </w:r>
          </w:p>
        </w:tc>
        <w:tc>
          <w:tcPr>
            <w:tcW w:w="954"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企业</w:t>
            </w:r>
          </w:p>
        </w:tc>
        <w:tc>
          <w:tcPr>
            <w:tcW w:w="78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9" w:hRule="atLeast"/>
          <w:jc w:val="center"/>
        </w:trPr>
        <w:tc>
          <w:tcPr>
            <w:tcW w:w="630" w:type="dxa"/>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12" w:lineRule="auto"/>
              <w:ind w:left="425" w:leftChars="0" w:hanging="425" w:firstLineChars="0"/>
              <w:jc w:val="center"/>
              <w:textAlignment w:val="center"/>
              <w:rPr>
                <w:rFonts w:hint="eastAsia" w:ascii="仿宋" w:hAnsi="仿宋" w:eastAsia="仿宋" w:cs="仿宋"/>
                <w:b/>
                <w:bCs/>
                <w:sz w:val="24"/>
                <w:szCs w:val="24"/>
                <w:vertAlign w:val="baseline"/>
              </w:rPr>
            </w:pPr>
          </w:p>
        </w:tc>
        <w:tc>
          <w:tcPr>
            <w:tcW w:w="23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i w:val="0"/>
                <w:iCs w:val="0"/>
                <w:color w:val="333333"/>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民办非企业单位登记证书遗失</w:t>
            </w:r>
          </w:p>
        </w:tc>
        <w:tc>
          <w:tcPr>
            <w:tcW w:w="5755" w:type="dxa"/>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12" w:lineRule="auto"/>
              <w:jc w:val="left"/>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（中华人民共和国民政部令第18号 1999年12月28日 根据2010年12月27日《民政部关于废止、修改部分规章的决定》修订）</w:t>
            </w:r>
            <w:r>
              <w:rPr>
                <w:rFonts w:hint="eastAsia" w:ascii="仿宋" w:hAnsi="仿宋" w:eastAsia="仿宋" w:cs="仿宋"/>
                <w:b/>
                <w:bCs/>
                <w:i w:val="0"/>
                <w:iCs w:val="0"/>
                <w:color w:val="auto"/>
                <w:kern w:val="0"/>
                <w:sz w:val="24"/>
                <w:szCs w:val="24"/>
                <w:u w:val="none"/>
                <w:lang w:val="en-US" w:eastAsia="zh-CN" w:bidi="ar"/>
              </w:rPr>
              <w:t>第二十五条</w:t>
            </w:r>
            <w:r>
              <w:rPr>
                <w:rFonts w:hint="eastAsia" w:ascii="仿宋" w:hAnsi="仿宋" w:eastAsia="仿宋" w:cs="仿宋"/>
                <w:i w:val="0"/>
                <w:iCs w:val="0"/>
                <w:color w:val="auto"/>
                <w:kern w:val="0"/>
                <w:sz w:val="24"/>
                <w:szCs w:val="24"/>
                <w:u w:val="none"/>
                <w:lang w:val="en-US" w:eastAsia="zh-CN" w:bidi="ar"/>
              </w:rPr>
              <w:t>：民办非企业单位登记证书遗失的，应当及时在公开发行的报刊上声明作废，并到登记管理机关申请办理补发证书手续。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12" w:lineRule="auto"/>
              <w:jc w:val="left"/>
              <w:textAlignment w:val="center"/>
              <w:rPr>
                <w:rFonts w:hint="eastAsia" w:ascii="仿宋" w:hAnsi="仿宋" w:eastAsia="仿宋" w:cs="仿宋"/>
                <w:i w:val="0"/>
                <w:iCs w:val="0"/>
                <w:color w:val="auto"/>
                <w:kern w:val="0"/>
                <w:sz w:val="24"/>
                <w:szCs w:val="24"/>
                <w:u w:val="none"/>
                <w:lang w:val="en-US" w:eastAsia="zh-CN" w:bidi="ar"/>
              </w:rPr>
            </w:pPr>
          </w:p>
        </w:tc>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i w:val="0"/>
                <w:iCs w:val="0"/>
                <w:color w:val="333333"/>
                <w:kern w:val="0"/>
                <w:sz w:val="24"/>
                <w:szCs w:val="24"/>
                <w:u w:val="none"/>
                <w:lang w:val="en-US" w:eastAsia="zh-CN" w:bidi="ar"/>
              </w:rPr>
            </w:pPr>
            <w:r>
              <w:rPr>
                <w:rFonts w:hint="eastAsia" w:ascii="仿宋" w:hAnsi="仿宋" w:eastAsia="仿宋" w:cs="仿宋"/>
                <w:i w:val="0"/>
                <w:iCs w:val="0"/>
                <w:color w:val="333333"/>
                <w:kern w:val="0"/>
                <w:sz w:val="24"/>
                <w:szCs w:val="24"/>
                <w:u w:val="none"/>
                <w:lang w:val="en-US" w:eastAsia="zh-CN" w:bidi="ar"/>
              </w:rPr>
              <w:t>安康市行政审批服务局</w:t>
            </w:r>
          </w:p>
        </w:tc>
        <w:tc>
          <w:tcPr>
            <w:tcW w:w="886"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i w:val="0"/>
                <w:iCs w:val="0"/>
                <w:color w:val="333333"/>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市级行政审批局</w:t>
            </w:r>
          </w:p>
        </w:tc>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i w:val="0"/>
                <w:iCs w:val="0"/>
                <w:color w:val="333333"/>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企业</w:t>
            </w:r>
          </w:p>
        </w:tc>
        <w:tc>
          <w:tcPr>
            <w:tcW w:w="11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i w:val="0"/>
                <w:iCs w:val="0"/>
                <w:color w:val="333333"/>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报刊</w:t>
            </w:r>
          </w:p>
        </w:tc>
        <w:tc>
          <w:tcPr>
            <w:tcW w:w="954"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i w:val="0"/>
                <w:iCs w:val="0"/>
                <w:color w:val="333333"/>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企业</w:t>
            </w:r>
          </w:p>
        </w:tc>
        <w:tc>
          <w:tcPr>
            <w:tcW w:w="78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i w:val="0"/>
                <w:iCs w:val="0"/>
                <w:color w:val="333333"/>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1" w:hRule="atLeast"/>
          <w:jc w:val="center"/>
        </w:trPr>
        <w:tc>
          <w:tcPr>
            <w:tcW w:w="630" w:type="dxa"/>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12" w:lineRule="auto"/>
              <w:ind w:left="425" w:leftChars="0" w:hanging="425" w:firstLineChars="0"/>
              <w:jc w:val="center"/>
              <w:textAlignment w:val="center"/>
              <w:rPr>
                <w:rFonts w:hint="eastAsia" w:ascii="仿宋" w:hAnsi="仿宋" w:eastAsia="仿宋" w:cs="仿宋"/>
                <w:b/>
                <w:bCs/>
                <w:sz w:val="24"/>
                <w:szCs w:val="24"/>
                <w:vertAlign w:val="baseline"/>
              </w:rPr>
            </w:pPr>
          </w:p>
        </w:tc>
        <w:tc>
          <w:tcPr>
            <w:tcW w:w="2373"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旅行社业务经营许可证遗失补办</w:t>
            </w:r>
          </w:p>
        </w:tc>
        <w:tc>
          <w:tcPr>
            <w:tcW w:w="5755" w:type="dxa"/>
            <w:vAlign w:val="center"/>
          </w:tcPr>
          <w:p>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center"/>
              <w:rPr>
                <w:rFonts w:hint="eastAsia" w:ascii="仿宋" w:hAnsi="仿宋" w:eastAsia="仿宋" w:cs="仿宋"/>
                <w:color w:val="auto"/>
                <w:sz w:val="24"/>
                <w:szCs w:val="24"/>
                <w:vertAlign w:val="baseline"/>
              </w:rPr>
            </w:pPr>
            <w:r>
              <w:rPr>
                <w:rFonts w:hint="eastAsia" w:ascii="仿宋" w:hAnsi="仿宋" w:eastAsia="仿宋" w:cs="仿宋"/>
                <w:i w:val="0"/>
                <w:iCs w:val="0"/>
                <w:color w:val="auto"/>
                <w:kern w:val="0"/>
                <w:sz w:val="24"/>
                <w:szCs w:val="24"/>
                <w:u w:val="none"/>
                <w:lang w:val="en-US" w:eastAsia="zh-CN" w:bidi="ar"/>
              </w:rPr>
              <w:t>《旅行社条例实施细则》（旅游局令第30号）</w:t>
            </w:r>
            <w:r>
              <w:rPr>
                <w:rFonts w:hint="eastAsia" w:ascii="仿宋" w:hAnsi="仿宋" w:eastAsia="仿宋" w:cs="仿宋"/>
                <w:b/>
                <w:bCs/>
                <w:i w:val="0"/>
                <w:iCs w:val="0"/>
                <w:color w:val="auto"/>
                <w:kern w:val="0"/>
                <w:sz w:val="24"/>
                <w:szCs w:val="24"/>
                <w:u w:val="none"/>
                <w:lang w:val="en-US" w:eastAsia="zh-CN" w:bidi="ar"/>
              </w:rPr>
              <w:t>第十一条</w:t>
            </w:r>
            <w:r>
              <w:rPr>
                <w:rFonts w:hint="eastAsia" w:ascii="仿宋" w:hAnsi="仿宋" w:eastAsia="仿宋" w:cs="仿宋"/>
                <w:i w:val="0"/>
                <w:iCs w:val="0"/>
                <w:color w:val="auto"/>
                <w:kern w:val="0"/>
                <w:sz w:val="24"/>
                <w:szCs w:val="24"/>
                <w:u w:val="none"/>
                <w:lang w:val="en-US" w:eastAsia="zh-CN" w:bidi="ar"/>
              </w:rPr>
              <w:t>：旅行社因业务经营需要可以向原许可的旅游行政管理部门，申请核发旅行社业务经营许可证副本。旅行社业务经营许可证及副本由国务院旅游行政主管部门制定统一样式国务院旅游行政主管部门和省级旅游行政管理部门分别印制。旅行社业务经营许可证及副本损毁或者遗失的旅行社，应当向原许可的旅游行政管理部门申请换发或者补发。申请补发旅行社业务经营许可证及副本的，旅行社应当通过本省、自治区、直辖市范围内公开发行的报刊或者省级以上旅游行政管理部门网站刊登损毁或者遗失作废声明。</w:t>
            </w:r>
          </w:p>
        </w:tc>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安康市行政审批服务局</w:t>
            </w:r>
          </w:p>
        </w:tc>
        <w:tc>
          <w:tcPr>
            <w:tcW w:w="886"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lang w:val="en-US"/>
              </w:rPr>
            </w:pPr>
            <w:r>
              <w:rPr>
                <w:rFonts w:hint="eastAsia" w:ascii="仿宋" w:hAnsi="仿宋" w:eastAsia="仿宋" w:cs="仿宋"/>
                <w:i w:val="0"/>
                <w:iCs w:val="0"/>
                <w:color w:val="333333"/>
                <w:kern w:val="0"/>
                <w:sz w:val="24"/>
                <w:szCs w:val="24"/>
                <w:u w:val="none"/>
                <w:lang w:val="en-US" w:eastAsia="zh-CN" w:bidi="ar"/>
              </w:rPr>
              <w:t>市级行政审批局</w:t>
            </w:r>
          </w:p>
        </w:tc>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企业</w:t>
            </w:r>
          </w:p>
        </w:tc>
        <w:tc>
          <w:tcPr>
            <w:tcW w:w="1173"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本省、自治区、直辖市范围内公开发行的报刊，或者省级以上旅游行政管理部门网站</w:t>
            </w:r>
          </w:p>
        </w:tc>
        <w:tc>
          <w:tcPr>
            <w:tcW w:w="954"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企业</w:t>
            </w:r>
          </w:p>
        </w:tc>
        <w:tc>
          <w:tcPr>
            <w:tcW w:w="780" w:type="dxa"/>
            <w:vAlign w:val="center"/>
          </w:tcPr>
          <w:p>
            <w:pPr>
              <w:keepNext w:val="0"/>
              <w:keepLines w:val="0"/>
              <w:pageBreakBefore w:val="0"/>
              <w:widowControl/>
              <w:suppressLineNumbers w:val="0"/>
              <w:kinsoku/>
              <w:wordWrap/>
              <w:overflowPunct/>
              <w:topLinePunct w:val="0"/>
              <w:autoSpaceDE/>
              <w:autoSpaceDN/>
              <w:bidi w:val="0"/>
              <w:adjustRightInd/>
              <w:snapToGrid/>
              <w:spacing w:line="312" w:lineRule="auto"/>
              <w:jc w:val="center"/>
              <w:textAlignment w:val="center"/>
              <w:rPr>
                <w:rFonts w:hint="eastAsia" w:ascii="仿宋" w:hAnsi="仿宋" w:eastAsia="仿宋" w:cs="仿宋"/>
                <w:sz w:val="24"/>
                <w:szCs w:val="24"/>
                <w:vertAlign w:val="baseline"/>
              </w:rPr>
            </w:pPr>
            <w:r>
              <w:rPr>
                <w:rFonts w:hint="eastAsia" w:ascii="仿宋" w:hAnsi="仿宋" w:eastAsia="仿宋" w:cs="仿宋"/>
                <w:i w:val="0"/>
                <w:iCs w:val="0"/>
                <w:color w:val="333333"/>
                <w:kern w:val="0"/>
                <w:sz w:val="24"/>
                <w:szCs w:val="24"/>
                <w:u w:val="none"/>
                <w:lang w:val="en-US" w:eastAsia="zh-CN" w:bidi="ar"/>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0" w:type="dxa"/>
            <w:vAlign w:val="center"/>
          </w:tcPr>
          <w:p>
            <w:pPr>
              <w:pStyle w:val="19"/>
              <w:keepNext w:val="0"/>
              <w:keepLines w:val="0"/>
              <w:pageBreakBefore w:val="0"/>
              <w:numPr>
                <w:ilvl w:val="0"/>
                <w:numId w:val="1"/>
              </w:numPr>
              <w:kinsoku/>
              <w:wordWrap/>
              <w:overflowPunct/>
              <w:topLinePunct w:val="0"/>
              <w:autoSpaceDE/>
              <w:autoSpaceDN/>
              <w:bidi w:val="0"/>
              <w:adjustRightInd/>
              <w:snapToGrid/>
              <w:spacing w:line="312" w:lineRule="auto"/>
              <w:ind w:left="425" w:leftChars="0" w:hanging="425" w:firstLineChars="0"/>
              <w:jc w:val="both"/>
              <w:rPr>
                <w:rFonts w:hint="eastAsia" w:ascii="仿宋" w:hAnsi="仿宋" w:eastAsia="仿宋" w:cs="仿宋"/>
                <w:b/>
                <w:bCs/>
                <w:sz w:val="24"/>
                <w:szCs w:val="24"/>
                <w:vertAlign w:val="baseline"/>
              </w:rPr>
            </w:pPr>
          </w:p>
        </w:tc>
        <w:tc>
          <w:tcPr>
            <w:tcW w:w="2373" w:type="dxa"/>
            <w:vAlign w:val="center"/>
          </w:tcPr>
          <w:p>
            <w:pPr>
              <w:pStyle w:val="19"/>
              <w:jc w:val="both"/>
              <w:rPr>
                <w:rFonts w:hint="eastAsia" w:ascii="仿宋" w:hAnsi="仿宋" w:eastAsia="仿宋" w:cs="仿宋"/>
                <w:sz w:val="24"/>
                <w:szCs w:val="24"/>
                <w:lang w:val="en-US" w:eastAsia="zh-CN"/>
              </w:rPr>
            </w:pPr>
            <w:r>
              <w:rPr>
                <w:rFonts w:hint="eastAsia" w:ascii="仿宋_GB2312" w:hAnsi="仿宋_GB2312" w:eastAsia="仿宋_GB2312" w:cs="仿宋_GB2312"/>
                <w:sz w:val="28"/>
                <w:szCs w:val="28"/>
                <w:lang w:val="en-US" w:eastAsia="zh-CN"/>
              </w:rPr>
              <w:t>司法鉴定许可证、司法鉴定人执业证遗失声明</w:t>
            </w:r>
          </w:p>
        </w:tc>
        <w:tc>
          <w:tcPr>
            <w:tcW w:w="5755" w:type="dxa"/>
            <w:vAlign w:val="center"/>
          </w:tcPr>
          <w:p>
            <w:pPr>
              <w:pStyle w:val="19"/>
              <w:jc w:val="both"/>
              <w:rPr>
                <w:rFonts w:hint="eastAsia" w:ascii="仿宋" w:hAnsi="仿宋" w:eastAsia="仿宋" w:cs="仿宋"/>
                <w:color w:val="auto"/>
                <w:sz w:val="24"/>
                <w:szCs w:val="24"/>
              </w:rPr>
            </w:pPr>
            <w:r>
              <w:rPr>
                <w:rFonts w:hint="eastAsia" w:ascii="仿宋_GB2312" w:hAnsi="仿宋_GB2312" w:eastAsia="仿宋_GB2312" w:cs="仿宋_GB2312"/>
                <w:sz w:val="24"/>
                <w:szCs w:val="24"/>
              </w:rPr>
              <w:t>《司法鉴定许可证和司法鉴定人执业证管理办法》（司发通〔2010〕83号）第十六条：《司法鉴定许可证》、《司法鉴定人执业证》遗失或者损坏的，司法鉴定机构、司法鉴定人应当及时向登记机关书面说明情况并申请补发。证书遗失的，应当在省级以上报刊或者登记机关指定的网站上刊登遗失声明；证书损坏的，应当在申请补发时将损坏的证书上交登记机关。登记机关收到补发申请后，应当核实情况，及时予以补发，补发的证书载明的内容应当与原证书一致。</w:t>
            </w:r>
          </w:p>
        </w:tc>
        <w:tc>
          <w:tcPr>
            <w:tcW w:w="818" w:type="dxa"/>
            <w:vAlign w:val="center"/>
          </w:tcPr>
          <w:p>
            <w:pPr>
              <w:pStyle w:val="19"/>
              <w:jc w:val="both"/>
              <w:rPr>
                <w:rFonts w:hint="eastAsia" w:ascii="仿宋" w:hAnsi="仿宋" w:eastAsia="仿宋" w:cs="仿宋"/>
                <w:sz w:val="24"/>
                <w:szCs w:val="24"/>
                <w:lang w:val="en-US" w:eastAsia="zh-CN"/>
              </w:rPr>
            </w:pPr>
            <w:r>
              <w:rPr>
                <w:rFonts w:hint="eastAsia" w:ascii="仿宋_GB2312" w:hAnsi="仿宋_GB2312" w:eastAsia="仿宋_GB2312" w:cs="仿宋_GB2312"/>
                <w:sz w:val="24"/>
                <w:szCs w:val="24"/>
                <w:lang w:val="en-US" w:eastAsia="zh-CN"/>
              </w:rPr>
              <w:t>安康市司法局</w:t>
            </w:r>
          </w:p>
        </w:tc>
        <w:tc>
          <w:tcPr>
            <w:tcW w:w="886" w:type="dxa"/>
            <w:vAlign w:val="center"/>
          </w:tcPr>
          <w:p>
            <w:pPr>
              <w:pStyle w:val="19"/>
              <w:jc w:val="both"/>
              <w:rPr>
                <w:rFonts w:hint="eastAsia" w:ascii="仿宋" w:hAnsi="仿宋" w:eastAsia="仿宋" w:cs="仿宋"/>
                <w:i w:val="0"/>
                <w:caps w:val="0"/>
                <w:color w:val="333333"/>
                <w:spacing w:val="0"/>
                <w:sz w:val="24"/>
                <w:szCs w:val="24"/>
                <w:shd w:val="clear" w:color="auto" w:fill="FFFFFF"/>
                <w:lang w:val="en-US" w:eastAsia="zh-CN"/>
              </w:rPr>
            </w:pPr>
            <w:r>
              <w:rPr>
                <w:rFonts w:hint="eastAsia" w:ascii="仿宋_GB2312" w:hAnsi="仿宋_GB2312" w:eastAsia="仿宋_GB2312" w:cs="仿宋_GB2312"/>
                <w:i w:val="0"/>
                <w:caps w:val="0"/>
                <w:color w:val="333333"/>
                <w:spacing w:val="0"/>
                <w:sz w:val="24"/>
                <w:szCs w:val="24"/>
                <w:shd w:val="clear" w:color="auto" w:fill="FFFFFF"/>
                <w:lang w:val="en-US" w:eastAsia="zh-CN"/>
              </w:rPr>
              <w:t>市级</w:t>
            </w:r>
            <w:r>
              <w:rPr>
                <w:rFonts w:hint="eastAsia" w:ascii="仿宋_GB2312" w:hAnsi="仿宋_GB2312" w:eastAsia="仿宋_GB2312" w:cs="仿宋_GB2312"/>
                <w:i w:val="0"/>
                <w:caps w:val="0"/>
                <w:color w:val="333333"/>
                <w:spacing w:val="0"/>
                <w:sz w:val="24"/>
                <w:szCs w:val="24"/>
                <w:shd w:val="clear" w:color="auto" w:fill="FFFFFF"/>
              </w:rPr>
              <w:t>司法行政机关</w:t>
            </w:r>
          </w:p>
        </w:tc>
        <w:tc>
          <w:tcPr>
            <w:tcW w:w="900" w:type="dxa"/>
            <w:vAlign w:val="center"/>
          </w:tcPr>
          <w:p>
            <w:pPr>
              <w:pStyle w:val="19"/>
              <w:jc w:val="both"/>
              <w:rPr>
                <w:rFonts w:hint="eastAsia" w:ascii="仿宋" w:hAnsi="仿宋" w:eastAsia="仿宋" w:cs="仿宋"/>
                <w:sz w:val="24"/>
                <w:szCs w:val="24"/>
                <w:lang w:val="en-US" w:eastAsia="zh-CN"/>
              </w:rPr>
            </w:pPr>
            <w:r>
              <w:rPr>
                <w:rFonts w:hint="eastAsia" w:ascii="仿宋_GB2312" w:hAnsi="仿宋_GB2312" w:eastAsia="仿宋_GB2312" w:cs="仿宋_GB2312"/>
                <w:sz w:val="24"/>
                <w:szCs w:val="24"/>
                <w:lang w:val="en-US" w:eastAsia="zh-CN"/>
              </w:rPr>
              <w:t>持证司法鉴定机构、持证司法鉴定人</w:t>
            </w:r>
          </w:p>
        </w:tc>
        <w:tc>
          <w:tcPr>
            <w:tcW w:w="1173" w:type="dxa"/>
            <w:vAlign w:val="center"/>
          </w:tcPr>
          <w:p>
            <w:pPr>
              <w:pStyle w:val="19"/>
              <w:jc w:val="both"/>
              <w:rPr>
                <w:rFonts w:hint="eastAsia" w:ascii="仿宋" w:hAnsi="仿宋" w:eastAsia="仿宋" w:cs="仿宋"/>
                <w:sz w:val="24"/>
                <w:szCs w:val="24"/>
              </w:rPr>
            </w:pPr>
            <w:r>
              <w:rPr>
                <w:rFonts w:hint="eastAsia" w:ascii="仿宋_GB2312" w:hAnsi="仿宋_GB2312" w:eastAsia="仿宋_GB2312" w:cs="仿宋_GB2312"/>
                <w:sz w:val="24"/>
                <w:szCs w:val="24"/>
              </w:rPr>
              <w:t>省级以上报刊或者登记机关指定的网站</w:t>
            </w:r>
          </w:p>
        </w:tc>
        <w:tc>
          <w:tcPr>
            <w:tcW w:w="954" w:type="dxa"/>
            <w:vAlign w:val="center"/>
          </w:tcPr>
          <w:p>
            <w:pPr>
              <w:pStyle w:val="19"/>
              <w:jc w:val="both"/>
              <w:rPr>
                <w:rFonts w:hint="eastAsia" w:ascii="仿宋" w:hAnsi="仿宋" w:eastAsia="仿宋" w:cs="仿宋"/>
                <w:sz w:val="24"/>
                <w:szCs w:val="24"/>
                <w:lang w:val="en-US" w:eastAsia="zh-CN"/>
              </w:rPr>
            </w:pPr>
            <w:r>
              <w:rPr>
                <w:rFonts w:hint="eastAsia" w:ascii="仿宋_GB2312" w:hAnsi="仿宋_GB2312" w:eastAsia="仿宋_GB2312" w:cs="仿宋_GB2312"/>
                <w:sz w:val="24"/>
                <w:szCs w:val="24"/>
                <w:lang w:val="en-US" w:eastAsia="zh-CN"/>
              </w:rPr>
              <w:t>持证人</w:t>
            </w:r>
          </w:p>
        </w:tc>
        <w:tc>
          <w:tcPr>
            <w:tcW w:w="780" w:type="dxa"/>
            <w:vAlign w:val="center"/>
          </w:tcPr>
          <w:p>
            <w:pPr>
              <w:pStyle w:val="19"/>
              <w:jc w:val="both"/>
              <w:rPr>
                <w:rFonts w:hint="eastAsia" w:ascii="仿宋" w:hAnsi="仿宋" w:eastAsia="仿宋" w:cs="仿宋"/>
                <w:sz w:val="24"/>
                <w:szCs w:val="24"/>
                <w:lang w:val="en-US" w:eastAsia="zh-CN"/>
              </w:rPr>
            </w:pPr>
            <w:r>
              <w:rPr>
                <w:rFonts w:hint="eastAsia" w:ascii="仿宋_GB2312" w:hAnsi="仿宋_GB2312" w:eastAsia="仿宋_GB2312" w:cs="仿宋_GB2312"/>
                <w:sz w:val="24"/>
                <w:szCs w:val="24"/>
                <w:lang w:val="en-US" w:eastAsia="zh-CN"/>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1" w:hRule="atLeast"/>
          <w:jc w:val="center"/>
        </w:trPr>
        <w:tc>
          <w:tcPr>
            <w:tcW w:w="630" w:type="dxa"/>
            <w:vAlign w:val="center"/>
          </w:tcPr>
          <w:p>
            <w:pPr>
              <w:pStyle w:val="19"/>
              <w:keepNext w:val="0"/>
              <w:keepLines w:val="0"/>
              <w:pageBreakBefore w:val="0"/>
              <w:numPr>
                <w:ilvl w:val="0"/>
                <w:numId w:val="1"/>
              </w:numPr>
              <w:kinsoku/>
              <w:wordWrap/>
              <w:overflowPunct/>
              <w:topLinePunct w:val="0"/>
              <w:autoSpaceDE/>
              <w:autoSpaceDN/>
              <w:bidi w:val="0"/>
              <w:adjustRightInd/>
              <w:snapToGrid/>
              <w:spacing w:line="312" w:lineRule="auto"/>
              <w:ind w:left="425" w:leftChars="0" w:hanging="425" w:firstLineChars="0"/>
              <w:jc w:val="center"/>
              <w:rPr>
                <w:rFonts w:hint="eastAsia" w:ascii="仿宋" w:hAnsi="仿宋" w:eastAsia="仿宋" w:cs="仿宋"/>
                <w:b/>
                <w:bCs/>
                <w:sz w:val="24"/>
                <w:szCs w:val="24"/>
                <w:vertAlign w:val="baseline"/>
              </w:rPr>
            </w:pPr>
          </w:p>
        </w:tc>
        <w:tc>
          <w:tcPr>
            <w:tcW w:w="2373" w:type="dxa"/>
            <w:vAlign w:val="center"/>
          </w:tcPr>
          <w:p>
            <w:pPr>
              <w:pStyle w:val="19"/>
              <w:keepNext w:val="0"/>
              <w:keepLines w:val="0"/>
              <w:pageBreakBefore w:val="0"/>
              <w:kinsoku/>
              <w:wordWrap/>
              <w:overflowPunct/>
              <w:topLinePunct w:val="0"/>
              <w:autoSpaceDE/>
              <w:autoSpaceDN/>
              <w:bidi w:val="0"/>
              <w:adjustRightInd/>
              <w:snapToGrid/>
              <w:spacing w:line="312" w:lineRule="auto"/>
              <w:jc w:val="center"/>
              <w:rPr>
                <w:rFonts w:hint="eastAsia" w:ascii="仿宋" w:hAnsi="仿宋" w:eastAsia="仿宋" w:cs="仿宋"/>
                <w:sz w:val="24"/>
                <w:szCs w:val="24"/>
                <w:vertAlign w:val="baseline"/>
                <w:lang w:eastAsia="zh-CN"/>
              </w:rPr>
            </w:pPr>
            <w:r>
              <w:rPr>
                <w:rFonts w:hint="eastAsia" w:ascii="仿宋" w:hAnsi="仿宋" w:eastAsia="仿宋" w:cs="仿宋"/>
                <w:sz w:val="24"/>
                <w:szCs w:val="24"/>
                <w:lang w:val="en-US" w:eastAsia="zh-CN"/>
              </w:rPr>
              <w:t>公证员执业证遗失声明</w:t>
            </w:r>
          </w:p>
        </w:tc>
        <w:tc>
          <w:tcPr>
            <w:tcW w:w="5755" w:type="dxa"/>
            <w:vAlign w:val="center"/>
          </w:tcPr>
          <w:p>
            <w:pPr>
              <w:pStyle w:val="19"/>
              <w:keepNext w:val="0"/>
              <w:keepLines w:val="0"/>
              <w:pageBreakBefore w:val="0"/>
              <w:kinsoku/>
              <w:wordWrap/>
              <w:overflowPunct/>
              <w:topLinePunct w:val="0"/>
              <w:autoSpaceDE/>
              <w:autoSpaceDN/>
              <w:bidi w:val="0"/>
              <w:adjustRightInd/>
              <w:snapToGrid/>
              <w:spacing w:line="312"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《公证员执业管理办法》</w:t>
            </w:r>
            <w:r>
              <w:rPr>
                <w:rFonts w:hint="eastAsia" w:ascii="仿宋" w:hAnsi="仿宋" w:eastAsia="仿宋" w:cs="仿宋"/>
                <w:b/>
                <w:bCs/>
                <w:color w:val="auto"/>
                <w:sz w:val="24"/>
                <w:szCs w:val="24"/>
              </w:rPr>
              <w:t>第十九条</w:t>
            </w:r>
            <w:r>
              <w:rPr>
                <w:rFonts w:hint="eastAsia" w:ascii="仿宋" w:hAnsi="仿宋" w:eastAsia="仿宋" w:cs="仿宋"/>
                <w:b/>
                <w:bCs/>
                <w:color w:val="auto"/>
                <w:sz w:val="24"/>
                <w:szCs w:val="24"/>
                <w:lang w:val="en-US" w:eastAsia="zh-CN"/>
              </w:rPr>
              <w:t xml:space="preserve"> </w:t>
            </w:r>
            <w:r>
              <w:rPr>
                <w:rFonts w:hint="eastAsia" w:ascii="仿宋" w:hAnsi="仿宋" w:eastAsia="仿宋" w:cs="仿宋"/>
                <w:color w:val="auto"/>
                <w:sz w:val="24"/>
                <w:szCs w:val="24"/>
              </w:rPr>
              <w:t>公证员执业证书由公证员本人持有和使用，不得涂改、抵押、出借或者转让。公证员执业证书损毁或者遗失的，由本人提出申请所在公证机构予以证明提请所在地司法行政机关报省、自治区、直辖市司法行政机关申请换发或者补发。执业证书遗失的，由所在公证机构在省级报刊上声明作废。</w:t>
            </w:r>
          </w:p>
          <w:p>
            <w:pPr>
              <w:pStyle w:val="19"/>
              <w:keepNext w:val="0"/>
              <w:keepLines w:val="0"/>
              <w:pageBreakBefore w:val="0"/>
              <w:kinsoku/>
              <w:wordWrap/>
              <w:overflowPunct/>
              <w:topLinePunct w:val="0"/>
              <w:autoSpaceDE/>
              <w:autoSpaceDN/>
              <w:bidi w:val="0"/>
              <w:adjustRightInd/>
              <w:snapToGrid/>
              <w:spacing w:line="312" w:lineRule="auto"/>
              <w:jc w:val="left"/>
              <w:rPr>
                <w:rFonts w:hint="eastAsia" w:ascii="仿宋" w:hAnsi="仿宋" w:eastAsia="仿宋" w:cs="仿宋"/>
                <w:color w:val="auto"/>
                <w:sz w:val="24"/>
                <w:szCs w:val="24"/>
                <w:lang w:eastAsia="zh-CN"/>
              </w:rPr>
            </w:pPr>
          </w:p>
        </w:tc>
        <w:tc>
          <w:tcPr>
            <w:tcW w:w="818" w:type="dxa"/>
            <w:vAlign w:val="center"/>
          </w:tcPr>
          <w:p>
            <w:pPr>
              <w:pStyle w:val="19"/>
              <w:keepNext w:val="0"/>
              <w:keepLines w:val="0"/>
              <w:pageBreakBefore w:val="0"/>
              <w:kinsoku/>
              <w:wordWrap/>
              <w:overflowPunct/>
              <w:topLinePunct w:val="0"/>
              <w:autoSpaceDE/>
              <w:autoSpaceDN/>
              <w:bidi w:val="0"/>
              <w:adjustRightInd/>
              <w:snapToGrid/>
              <w:spacing w:line="312"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安康市司法局</w:t>
            </w:r>
          </w:p>
        </w:tc>
        <w:tc>
          <w:tcPr>
            <w:tcW w:w="886" w:type="dxa"/>
            <w:vAlign w:val="center"/>
          </w:tcPr>
          <w:p>
            <w:pPr>
              <w:pStyle w:val="19"/>
              <w:keepNext w:val="0"/>
              <w:keepLines w:val="0"/>
              <w:pageBreakBefore w:val="0"/>
              <w:kinsoku/>
              <w:wordWrap/>
              <w:overflowPunct/>
              <w:topLinePunct w:val="0"/>
              <w:autoSpaceDE/>
              <w:autoSpaceDN/>
              <w:bidi w:val="0"/>
              <w:adjustRightInd/>
              <w:snapToGrid/>
              <w:spacing w:line="312" w:lineRule="auto"/>
              <w:jc w:val="center"/>
              <w:rPr>
                <w:rFonts w:hint="eastAsia" w:ascii="仿宋" w:hAnsi="仿宋" w:eastAsia="仿宋" w:cs="仿宋"/>
                <w:sz w:val="24"/>
                <w:szCs w:val="24"/>
                <w:vertAlign w:val="baseline"/>
                <w:lang w:val="en-US" w:eastAsia="zh-CN"/>
              </w:rPr>
            </w:pPr>
            <w:r>
              <w:rPr>
                <w:rFonts w:hint="eastAsia" w:ascii="仿宋" w:hAnsi="仿宋" w:eastAsia="仿宋" w:cs="仿宋"/>
                <w:i w:val="0"/>
                <w:caps w:val="0"/>
                <w:color w:val="333333"/>
                <w:spacing w:val="0"/>
                <w:sz w:val="24"/>
                <w:szCs w:val="24"/>
                <w:shd w:val="clear" w:color="auto" w:fill="FFFFFF"/>
                <w:lang w:val="en-US" w:eastAsia="zh-CN"/>
              </w:rPr>
              <w:t>市级</w:t>
            </w:r>
            <w:r>
              <w:rPr>
                <w:rFonts w:hint="eastAsia" w:ascii="仿宋" w:hAnsi="仿宋" w:eastAsia="仿宋" w:cs="仿宋"/>
                <w:i w:val="0"/>
                <w:caps w:val="0"/>
                <w:color w:val="333333"/>
                <w:spacing w:val="0"/>
                <w:sz w:val="24"/>
                <w:szCs w:val="24"/>
                <w:shd w:val="clear" w:color="auto" w:fill="FFFFFF"/>
              </w:rPr>
              <w:t>司法行政机关</w:t>
            </w:r>
          </w:p>
        </w:tc>
        <w:tc>
          <w:tcPr>
            <w:tcW w:w="900" w:type="dxa"/>
            <w:vAlign w:val="center"/>
          </w:tcPr>
          <w:p>
            <w:pPr>
              <w:pStyle w:val="19"/>
              <w:keepNext w:val="0"/>
              <w:keepLines w:val="0"/>
              <w:pageBreakBefore w:val="0"/>
              <w:kinsoku/>
              <w:wordWrap/>
              <w:overflowPunct/>
              <w:topLinePunct w:val="0"/>
              <w:autoSpaceDE/>
              <w:autoSpaceDN/>
              <w:bidi w:val="0"/>
              <w:adjustRightInd/>
              <w:snapToGrid/>
              <w:spacing w:line="312"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持证公证员</w:t>
            </w:r>
          </w:p>
        </w:tc>
        <w:tc>
          <w:tcPr>
            <w:tcW w:w="1173" w:type="dxa"/>
            <w:vAlign w:val="center"/>
          </w:tcPr>
          <w:p>
            <w:pPr>
              <w:pStyle w:val="19"/>
              <w:keepNext w:val="0"/>
              <w:keepLines w:val="0"/>
              <w:pageBreakBefore w:val="0"/>
              <w:kinsoku/>
              <w:wordWrap/>
              <w:overflowPunct/>
              <w:topLinePunct w:val="0"/>
              <w:autoSpaceDE/>
              <w:autoSpaceDN/>
              <w:bidi w:val="0"/>
              <w:adjustRightInd/>
              <w:snapToGrid/>
              <w:spacing w:line="312" w:lineRule="auto"/>
              <w:jc w:val="center"/>
              <w:rPr>
                <w:rFonts w:hint="eastAsia" w:ascii="仿宋" w:hAnsi="仿宋" w:eastAsia="仿宋" w:cs="仿宋"/>
                <w:sz w:val="24"/>
                <w:szCs w:val="24"/>
              </w:rPr>
            </w:pPr>
            <w:r>
              <w:rPr>
                <w:rFonts w:hint="eastAsia" w:ascii="仿宋" w:hAnsi="仿宋" w:eastAsia="仿宋" w:cs="仿宋"/>
                <w:sz w:val="24"/>
                <w:szCs w:val="24"/>
              </w:rPr>
              <w:t>省级</w:t>
            </w:r>
          </w:p>
          <w:p>
            <w:pPr>
              <w:pStyle w:val="19"/>
              <w:keepNext w:val="0"/>
              <w:keepLines w:val="0"/>
              <w:pageBreakBefore w:val="0"/>
              <w:kinsoku/>
              <w:wordWrap/>
              <w:overflowPunct/>
              <w:topLinePunct w:val="0"/>
              <w:autoSpaceDE/>
              <w:autoSpaceDN/>
              <w:bidi w:val="0"/>
              <w:adjustRightInd/>
              <w:snapToGrid/>
              <w:spacing w:line="312" w:lineRule="auto"/>
              <w:jc w:val="center"/>
              <w:rPr>
                <w:rFonts w:hint="eastAsia" w:ascii="仿宋" w:hAnsi="仿宋" w:eastAsia="仿宋" w:cs="仿宋"/>
                <w:sz w:val="24"/>
                <w:szCs w:val="24"/>
                <w:vertAlign w:val="baseline"/>
                <w:lang w:eastAsia="zh-CN"/>
              </w:rPr>
            </w:pPr>
            <w:r>
              <w:rPr>
                <w:rFonts w:hint="eastAsia" w:ascii="仿宋" w:hAnsi="仿宋" w:eastAsia="仿宋" w:cs="仿宋"/>
                <w:sz w:val="24"/>
                <w:szCs w:val="24"/>
              </w:rPr>
              <w:t>报刊</w:t>
            </w:r>
          </w:p>
        </w:tc>
        <w:tc>
          <w:tcPr>
            <w:tcW w:w="954" w:type="dxa"/>
            <w:vAlign w:val="center"/>
          </w:tcPr>
          <w:p>
            <w:pPr>
              <w:pStyle w:val="19"/>
              <w:keepNext w:val="0"/>
              <w:keepLines w:val="0"/>
              <w:pageBreakBefore w:val="0"/>
              <w:kinsoku/>
              <w:wordWrap/>
              <w:overflowPunct/>
              <w:topLinePunct w:val="0"/>
              <w:autoSpaceDE/>
              <w:autoSpaceDN/>
              <w:bidi w:val="0"/>
              <w:adjustRightInd/>
              <w:snapToGrid/>
              <w:spacing w:line="312"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持证人</w:t>
            </w:r>
          </w:p>
        </w:tc>
        <w:tc>
          <w:tcPr>
            <w:tcW w:w="780" w:type="dxa"/>
            <w:vAlign w:val="center"/>
          </w:tcPr>
          <w:p>
            <w:pPr>
              <w:pStyle w:val="19"/>
              <w:keepNext w:val="0"/>
              <w:keepLines w:val="0"/>
              <w:pageBreakBefore w:val="0"/>
              <w:kinsoku/>
              <w:wordWrap/>
              <w:overflowPunct/>
              <w:topLinePunct w:val="0"/>
              <w:autoSpaceDE/>
              <w:autoSpaceDN/>
              <w:bidi w:val="0"/>
              <w:adjustRightInd/>
              <w:snapToGrid/>
              <w:spacing w:line="312"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3" w:hRule="atLeast"/>
          <w:jc w:val="center"/>
        </w:trPr>
        <w:tc>
          <w:tcPr>
            <w:tcW w:w="630" w:type="dxa"/>
            <w:vAlign w:val="center"/>
          </w:tcPr>
          <w:p>
            <w:pPr>
              <w:pStyle w:val="19"/>
              <w:keepNext w:val="0"/>
              <w:keepLines w:val="0"/>
              <w:pageBreakBefore w:val="0"/>
              <w:numPr>
                <w:ilvl w:val="0"/>
                <w:numId w:val="1"/>
              </w:numPr>
              <w:kinsoku/>
              <w:wordWrap/>
              <w:overflowPunct/>
              <w:topLinePunct w:val="0"/>
              <w:autoSpaceDE/>
              <w:autoSpaceDN/>
              <w:bidi w:val="0"/>
              <w:adjustRightInd/>
              <w:snapToGrid/>
              <w:spacing w:line="312" w:lineRule="auto"/>
              <w:ind w:left="425" w:leftChars="0" w:hanging="425" w:firstLineChars="0"/>
              <w:jc w:val="center"/>
              <w:rPr>
                <w:rFonts w:hint="eastAsia" w:ascii="仿宋" w:hAnsi="仿宋" w:eastAsia="仿宋" w:cs="仿宋"/>
                <w:b/>
                <w:bCs/>
                <w:sz w:val="24"/>
                <w:szCs w:val="24"/>
                <w:vertAlign w:val="baseline"/>
              </w:rPr>
            </w:pPr>
          </w:p>
        </w:tc>
        <w:tc>
          <w:tcPr>
            <w:tcW w:w="2373" w:type="dxa"/>
            <w:vAlign w:val="center"/>
          </w:tcPr>
          <w:p>
            <w:pPr>
              <w:pStyle w:val="19"/>
              <w:keepNext w:val="0"/>
              <w:keepLines w:val="0"/>
              <w:pageBreakBefore w:val="0"/>
              <w:kinsoku/>
              <w:wordWrap/>
              <w:overflowPunct/>
              <w:topLinePunct w:val="0"/>
              <w:autoSpaceDE/>
              <w:autoSpaceDN/>
              <w:bidi w:val="0"/>
              <w:adjustRightInd/>
              <w:snapToGrid/>
              <w:spacing w:line="312" w:lineRule="auto"/>
              <w:ind w:left="0" w:leftChars="0" w:right="0" w:rightChars="0"/>
              <w:jc w:val="center"/>
              <w:rPr>
                <w:rFonts w:hint="eastAsia" w:ascii="仿宋" w:hAnsi="仿宋" w:eastAsia="仿宋" w:cs="仿宋"/>
                <w:sz w:val="24"/>
                <w:szCs w:val="24"/>
                <w:vertAlign w:val="baseline"/>
                <w:lang w:eastAsia="zh-CN"/>
              </w:rPr>
            </w:pPr>
            <w:r>
              <w:rPr>
                <w:rFonts w:hint="eastAsia" w:ascii="仿宋" w:hAnsi="仿宋" w:eastAsia="仿宋" w:cs="仿宋"/>
                <w:sz w:val="24"/>
                <w:szCs w:val="24"/>
                <w:lang w:val="en-US" w:eastAsia="zh-CN"/>
              </w:rPr>
              <w:t>律师执业证遗失声明</w:t>
            </w:r>
          </w:p>
        </w:tc>
        <w:tc>
          <w:tcPr>
            <w:tcW w:w="5755" w:type="dxa"/>
            <w:vAlign w:val="center"/>
          </w:tcPr>
          <w:p>
            <w:pPr>
              <w:pStyle w:val="19"/>
              <w:keepNext w:val="0"/>
              <w:keepLines w:val="0"/>
              <w:pageBreakBefore w:val="0"/>
              <w:kinsoku/>
              <w:wordWrap/>
              <w:overflowPunct/>
              <w:topLinePunct w:val="0"/>
              <w:autoSpaceDE/>
              <w:autoSpaceDN/>
              <w:bidi w:val="0"/>
              <w:adjustRightInd/>
              <w:snapToGrid/>
              <w:spacing w:line="312" w:lineRule="auto"/>
              <w:ind w:left="0" w:leftChars="0" w:right="0" w:rightChars="0"/>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律师执业管理办法</w:t>
            </w: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第</w:t>
            </w:r>
            <w:r>
              <w:rPr>
                <w:rFonts w:hint="eastAsia" w:ascii="仿宋" w:hAnsi="仿宋" w:eastAsia="仿宋" w:cs="仿宋"/>
                <w:b/>
                <w:bCs/>
                <w:color w:val="auto"/>
                <w:sz w:val="24"/>
                <w:szCs w:val="24"/>
                <w:lang w:val="en-US" w:eastAsia="zh-CN"/>
              </w:rPr>
              <w:t xml:space="preserve">四十八条 </w:t>
            </w:r>
            <w:r>
              <w:rPr>
                <w:rFonts w:hint="eastAsia" w:ascii="仿宋" w:hAnsi="仿宋" w:eastAsia="仿宋" w:cs="仿宋"/>
                <w:color w:val="auto"/>
                <w:sz w:val="24"/>
                <w:szCs w:val="24"/>
                <w:lang w:val="en-US" w:eastAsia="zh-CN"/>
              </w:rPr>
              <w:t>律师应当妥善使用和保管律师执业证书，不得变造、抵押、出借、出租。如有遗失或者损毁的，应当及时报告所在地县级司法行政机关，经所在地设区的市级或者直辖市区（县）司法行政机关向原审核颁证机关申请补发或者换发。律师执业证书遗失的，应当在省级以上报刊或者发证机关指定网站上刊登遗失声明。</w:t>
            </w:r>
          </w:p>
          <w:p>
            <w:pPr>
              <w:pStyle w:val="19"/>
              <w:keepNext w:val="0"/>
              <w:keepLines w:val="0"/>
              <w:pageBreakBefore w:val="0"/>
              <w:kinsoku/>
              <w:wordWrap/>
              <w:overflowPunct/>
              <w:topLinePunct w:val="0"/>
              <w:autoSpaceDE/>
              <w:autoSpaceDN/>
              <w:bidi w:val="0"/>
              <w:adjustRightInd/>
              <w:snapToGrid/>
              <w:spacing w:line="312" w:lineRule="auto"/>
              <w:ind w:left="0" w:leftChars="0" w:right="0" w:rightChars="0"/>
              <w:jc w:val="left"/>
              <w:rPr>
                <w:rFonts w:hint="eastAsia" w:ascii="仿宋" w:hAnsi="仿宋" w:eastAsia="仿宋" w:cs="仿宋"/>
                <w:color w:val="auto"/>
                <w:sz w:val="24"/>
                <w:szCs w:val="24"/>
                <w:lang w:val="en-US" w:eastAsia="zh-CN"/>
              </w:rPr>
            </w:pPr>
          </w:p>
        </w:tc>
        <w:tc>
          <w:tcPr>
            <w:tcW w:w="818" w:type="dxa"/>
            <w:vAlign w:val="center"/>
          </w:tcPr>
          <w:p>
            <w:pPr>
              <w:pStyle w:val="19"/>
              <w:keepNext w:val="0"/>
              <w:keepLines w:val="0"/>
              <w:pageBreakBefore w:val="0"/>
              <w:kinsoku/>
              <w:wordWrap/>
              <w:overflowPunct/>
              <w:topLinePunct w:val="0"/>
              <w:autoSpaceDE/>
              <w:autoSpaceDN/>
              <w:bidi w:val="0"/>
              <w:adjustRightInd/>
              <w:snapToGrid/>
              <w:spacing w:line="312" w:lineRule="auto"/>
              <w:ind w:left="0" w:leftChars="0" w:right="0" w:rightChars="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安康市司法局</w:t>
            </w:r>
          </w:p>
        </w:tc>
        <w:tc>
          <w:tcPr>
            <w:tcW w:w="886" w:type="dxa"/>
            <w:vAlign w:val="center"/>
          </w:tcPr>
          <w:p>
            <w:pPr>
              <w:pStyle w:val="19"/>
              <w:keepNext w:val="0"/>
              <w:keepLines w:val="0"/>
              <w:pageBreakBefore w:val="0"/>
              <w:kinsoku/>
              <w:wordWrap/>
              <w:overflowPunct/>
              <w:topLinePunct w:val="0"/>
              <w:autoSpaceDE/>
              <w:autoSpaceDN/>
              <w:bidi w:val="0"/>
              <w:adjustRightInd/>
              <w:snapToGrid/>
              <w:spacing w:line="312" w:lineRule="auto"/>
              <w:ind w:left="0" w:leftChars="0" w:right="0" w:rightChars="0"/>
              <w:jc w:val="center"/>
              <w:rPr>
                <w:rFonts w:hint="eastAsia" w:ascii="仿宋" w:hAnsi="仿宋" w:eastAsia="仿宋" w:cs="仿宋"/>
                <w:sz w:val="24"/>
                <w:szCs w:val="24"/>
                <w:vertAlign w:val="baseline"/>
                <w:lang w:val="en-US" w:eastAsia="zh-CN"/>
              </w:rPr>
            </w:pPr>
            <w:r>
              <w:rPr>
                <w:rFonts w:hint="eastAsia" w:ascii="仿宋" w:hAnsi="仿宋" w:eastAsia="仿宋" w:cs="仿宋"/>
                <w:i w:val="0"/>
                <w:caps w:val="0"/>
                <w:color w:val="333333"/>
                <w:spacing w:val="0"/>
                <w:sz w:val="24"/>
                <w:szCs w:val="24"/>
                <w:shd w:val="clear" w:color="auto" w:fill="FFFFFF"/>
                <w:lang w:val="en-US" w:eastAsia="zh-CN"/>
              </w:rPr>
              <w:t>市级</w:t>
            </w:r>
            <w:r>
              <w:rPr>
                <w:rFonts w:hint="eastAsia" w:ascii="仿宋" w:hAnsi="仿宋" w:eastAsia="仿宋" w:cs="仿宋"/>
                <w:i w:val="0"/>
                <w:caps w:val="0"/>
                <w:color w:val="333333"/>
                <w:spacing w:val="0"/>
                <w:sz w:val="24"/>
                <w:szCs w:val="24"/>
                <w:shd w:val="clear" w:color="auto" w:fill="FFFFFF"/>
              </w:rPr>
              <w:t>司法行政机关</w:t>
            </w:r>
          </w:p>
        </w:tc>
        <w:tc>
          <w:tcPr>
            <w:tcW w:w="900" w:type="dxa"/>
            <w:vAlign w:val="center"/>
          </w:tcPr>
          <w:p>
            <w:pPr>
              <w:pStyle w:val="19"/>
              <w:keepNext w:val="0"/>
              <w:keepLines w:val="0"/>
              <w:pageBreakBefore w:val="0"/>
              <w:kinsoku/>
              <w:wordWrap/>
              <w:overflowPunct/>
              <w:topLinePunct w:val="0"/>
              <w:autoSpaceDE/>
              <w:autoSpaceDN/>
              <w:bidi w:val="0"/>
              <w:adjustRightInd/>
              <w:snapToGrid/>
              <w:spacing w:line="312" w:lineRule="auto"/>
              <w:ind w:left="0" w:leftChars="0" w:right="0" w:rightChars="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持证律师</w:t>
            </w:r>
          </w:p>
        </w:tc>
        <w:tc>
          <w:tcPr>
            <w:tcW w:w="1173" w:type="dxa"/>
            <w:vAlign w:val="center"/>
          </w:tcPr>
          <w:p>
            <w:pPr>
              <w:pStyle w:val="19"/>
              <w:keepNext w:val="0"/>
              <w:keepLines w:val="0"/>
              <w:pageBreakBefore w:val="0"/>
              <w:kinsoku/>
              <w:wordWrap/>
              <w:overflowPunct/>
              <w:topLinePunct w:val="0"/>
              <w:autoSpaceDE/>
              <w:autoSpaceDN/>
              <w:bidi w:val="0"/>
              <w:adjustRightInd/>
              <w:snapToGrid/>
              <w:spacing w:line="312" w:lineRule="auto"/>
              <w:ind w:left="0" w:leftChars="0" w:right="0" w:rightChars="0"/>
              <w:jc w:val="center"/>
              <w:rPr>
                <w:rFonts w:hint="eastAsia" w:ascii="仿宋" w:hAnsi="仿宋" w:eastAsia="仿宋" w:cs="仿宋"/>
                <w:sz w:val="24"/>
                <w:szCs w:val="24"/>
              </w:rPr>
            </w:pPr>
            <w:r>
              <w:rPr>
                <w:rFonts w:hint="eastAsia" w:ascii="仿宋" w:hAnsi="仿宋" w:eastAsia="仿宋" w:cs="仿宋"/>
                <w:sz w:val="24"/>
                <w:szCs w:val="24"/>
              </w:rPr>
              <w:t>省级</w:t>
            </w:r>
          </w:p>
          <w:p>
            <w:pPr>
              <w:pStyle w:val="19"/>
              <w:keepNext w:val="0"/>
              <w:keepLines w:val="0"/>
              <w:pageBreakBefore w:val="0"/>
              <w:kinsoku/>
              <w:wordWrap/>
              <w:overflowPunct/>
              <w:topLinePunct w:val="0"/>
              <w:autoSpaceDE/>
              <w:autoSpaceDN/>
              <w:bidi w:val="0"/>
              <w:adjustRightInd/>
              <w:snapToGrid/>
              <w:spacing w:line="312" w:lineRule="auto"/>
              <w:ind w:left="0" w:leftChars="0" w:right="0" w:rightChars="0"/>
              <w:jc w:val="center"/>
              <w:rPr>
                <w:rFonts w:hint="eastAsia" w:ascii="仿宋" w:hAnsi="仿宋" w:eastAsia="仿宋" w:cs="仿宋"/>
                <w:sz w:val="24"/>
                <w:szCs w:val="24"/>
                <w:vertAlign w:val="baseline"/>
                <w:lang w:eastAsia="zh-CN"/>
              </w:rPr>
            </w:pPr>
            <w:r>
              <w:rPr>
                <w:rFonts w:hint="eastAsia" w:ascii="仿宋" w:hAnsi="仿宋" w:eastAsia="仿宋" w:cs="仿宋"/>
                <w:sz w:val="24"/>
                <w:szCs w:val="24"/>
              </w:rPr>
              <w:t>报刊</w:t>
            </w:r>
          </w:p>
        </w:tc>
        <w:tc>
          <w:tcPr>
            <w:tcW w:w="954" w:type="dxa"/>
            <w:vAlign w:val="center"/>
          </w:tcPr>
          <w:p>
            <w:pPr>
              <w:pStyle w:val="19"/>
              <w:keepNext w:val="0"/>
              <w:keepLines w:val="0"/>
              <w:pageBreakBefore w:val="0"/>
              <w:kinsoku/>
              <w:wordWrap/>
              <w:overflowPunct/>
              <w:topLinePunct w:val="0"/>
              <w:autoSpaceDE/>
              <w:autoSpaceDN/>
              <w:bidi w:val="0"/>
              <w:adjustRightInd/>
              <w:snapToGrid/>
              <w:spacing w:line="312" w:lineRule="auto"/>
              <w:ind w:left="0" w:leftChars="0" w:right="0" w:rightChars="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持证人</w:t>
            </w:r>
          </w:p>
        </w:tc>
        <w:tc>
          <w:tcPr>
            <w:tcW w:w="780" w:type="dxa"/>
            <w:vAlign w:val="center"/>
          </w:tcPr>
          <w:p>
            <w:pPr>
              <w:pStyle w:val="19"/>
              <w:keepNext w:val="0"/>
              <w:keepLines w:val="0"/>
              <w:pageBreakBefore w:val="0"/>
              <w:kinsoku/>
              <w:wordWrap/>
              <w:overflowPunct/>
              <w:topLinePunct w:val="0"/>
              <w:autoSpaceDE/>
              <w:autoSpaceDN/>
              <w:bidi w:val="0"/>
              <w:adjustRightInd/>
              <w:snapToGrid/>
              <w:spacing w:line="312" w:lineRule="auto"/>
              <w:ind w:left="0" w:leftChars="0" w:right="0" w:rightChars="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9" w:hRule="atLeast"/>
          <w:jc w:val="center"/>
        </w:trPr>
        <w:tc>
          <w:tcPr>
            <w:tcW w:w="630" w:type="dxa"/>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after="240" w:afterAutospacing="0" w:line="312" w:lineRule="auto"/>
              <w:ind w:left="425" w:leftChars="0" w:hanging="425" w:firstLineChars="0"/>
              <w:jc w:val="center"/>
              <w:textAlignment w:val="center"/>
              <w:rPr>
                <w:rFonts w:hint="eastAsia" w:ascii="仿宋" w:hAnsi="仿宋" w:eastAsia="仿宋" w:cs="仿宋"/>
                <w:b/>
                <w:bCs/>
                <w:sz w:val="24"/>
                <w:szCs w:val="24"/>
                <w:vertAlign w:val="baseline"/>
              </w:rPr>
            </w:pPr>
          </w:p>
        </w:tc>
        <w:tc>
          <w:tcPr>
            <w:tcW w:w="2373" w:type="dxa"/>
            <w:vAlign w:val="center"/>
          </w:tcPr>
          <w:p>
            <w:pPr>
              <w:keepNext w:val="0"/>
              <w:keepLines w:val="0"/>
              <w:pageBreakBefore w:val="0"/>
              <w:widowControl/>
              <w:suppressLineNumbers w:val="0"/>
              <w:kinsoku/>
              <w:wordWrap/>
              <w:overflowPunct/>
              <w:topLinePunct w:val="0"/>
              <w:autoSpaceDE/>
              <w:autoSpaceDN/>
              <w:bidi w:val="0"/>
              <w:adjustRightInd/>
              <w:snapToGrid/>
              <w:spacing w:after="240" w:afterAutospacing="0" w:line="312"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财政票据或《财政票据领用证》丢失声明</w:t>
            </w:r>
          </w:p>
        </w:tc>
        <w:tc>
          <w:tcPr>
            <w:tcW w:w="5755" w:type="dxa"/>
            <w:vAlign w:val="top"/>
          </w:tcPr>
          <w:p>
            <w:pPr>
              <w:keepNext w:val="0"/>
              <w:keepLines w:val="0"/>
              <w:pageBreakBefore w:val="0"/>
              <w:widowControl/>
              <w:suppressLineNumbers w:val="0"/>
              <w:shd w:val="clear" w:fill="FFFFFF"/>
              <w:kinsoku/>
              <w:wordWrap/>
              <w:overflowPunct/>
              <w:topLinePunct w:val="0"/>
              <w:autoSpaceDE/>
              <w:autoSpaceDN/>
              <w:bidi w:val="0"/>
              <w:adjustRightInd/>
              <w:snapToGrid/>
              <w:spacing w:before="300" w:beforeAutospacing="0" w:after="225" w:afterAutospacing="0" w:line="360" w:lineRule="auto"/>
              <w:ind w:right="0"/>
              <w:jc w:val="left"/>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color w:val="auto"/>
                <w:kern w:val="0"/>
                <w:sz w:val="24"/>
                <w:szCs w:val="24"/>
                <w:shd w:val="clear" w:fill="FFFFFF"/>
                <w:lang w:val="en-US" w:eastAsia="zh-CN" w:bidi="ar"/>
              </w:rPr>
              <w:t>《财政票据管理办法》财政部令</w:t>
            </w:r>
            <w:r>
              <w:rPr>
                <w:rFonts w:hint="eastAsia" w:ascii="仿宋" w:hAnsi="仿宋" w:eastAsia="仿宋" w:cs="仿宋"/>
                <w:b/>
                <w:bCs/>
                <w:color w:val="auto"/>
                <w:kern w:val="0"/>
                <w:sz w:val="24"/>
                <w:szCs w:val="24"/>
                <w:shd w:val="clear" w:fill="FFFFFF"/>
                <w:lang w:val="en-US" w:eastAsia="zh-CN" w:bidi="ar"/>
              </w:rPr>
              <w:t>104</w:t>
            </w:r>
            <w:r>
              <w:rPr>
                <w:rFonts w:hint="eastAsia" w:ascii="仿宋" w:hAnsi="仿宋" w:eastAsia="仿宋" w:cs="仿宋"/>
                <w:color w:val="auto"/>
                <w:kern w:val="0"/>
                <w:sz w:val="24"/>
                <w:szCs w:val="24"/>
                <w:shd w:val="clear" w:fill="FFFFFF"/>
                <w:lang w:val="en-US" w:eastAsia="zh-CN" w:bidi="ar"/>
              </w:rPr>
              <w:t>号第三十七条财政票据或者《财政票据领用证》灭失的，财政票据使用单位应当查明原因，及时以书面形式报告原核发票据的财政部门，并自发现之日起3日内登报声明作废。</w:t>
            </w:r>
          </w:p>
        </w:tc>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after="240" w:afterAutospacing="0" w:line="312"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安康市财政局</w:t>
            </w:r>
          </w:p>
        </w:tc>
        <w:tc>
          <w:tcPr>
            <w:tcW w:w="886" w:type="dxa"/>
            <w:vAlign w:val="center"/>
          </w:tcPr>
          <w:p>
            <w:pPr>
              <w:keepNext w:val="0"/>
              <w:keepLines w:val="0"/>
              <w:pageBreakBefore w:val="0"/>
              <w:widowControl/>
              <w:suppressLineNumbers w:val="0"/>
              <w:kinsoku/>
              <w:wordWrap/>
              <w:overflowPunct/>
              <w:topLinePunct w:val="0"/>
              <w:autoSpaceDE/>
              <w:autoSpaceDN/>
              <w:bidi w:val="0"/>
              <w:adjustRightInd/>
              <w:snapToGrid/>
              <w:spacing w:after="240" w:afterAutospacing="0" w:line="312"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市级财政局</w:t>
            </w:r>
          </w:p>
        </w:tc>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after="240" w:afterAutospacing="0" w:line="312"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行政事业单位</w:t>
            </w:r>
          </w:p>
        </w:tc>
        <w:tc>
          <w:tcPr>
            <w:tcW w:w="1173" w:type="dxa"/>
            <w:vAlign w:val="center"/>
          </w:tcPr>
          <w:p>
            <w:pPr>
              <w:keepNext w:val="0"/>
              <w:keepLines w:val="0"/>
              <w:pageBreakBefore w:val="0"/>
              <w:widowControl/>
              <w:suppressLineNumbers w:val="0"/>
              <w:kinsoku/>
              <w:wordWrap/>
              <w:overflowPunct/>
              <w:topLinePunct w:val="0"/>
              <w:autoSpaceDE/>
              <w:autoSpaceDN/>
              <w:bidi w:val="0"/>
              <w:adjustRightInd/>
              <w:snapToGrid/>
              <w:spacing w:after="240" w:afterAutospacing="0" w:line="312"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报纸</w:t>
            </w:r>
          </w:p>
        </w:tc>
        <w:tc>
          <w:tcPr>
            <w:tcW w:w="954" w:type="dxa"/>
            <w:vAlign w:val="center"/>
          </w:tcPr>
          <w:p>
            <w:pPr>
              <w:keepNext w:val="0"/>
              <w:keepLines w:val="0"/>
              <w:pageBreakBefore w:val="0"/>
              <w:widowControl/>
              <w:suppressLineNumbers w:val="0"/>
              <w:kinsoku/>
              <w:wordWrap/>
              <w:overflowPunct/>
              <w:topLinePunct w:val="0"/>
              <w:autoSpaceDE/>
              <w:autoSpaceDN/>
              <w:bidi w:val="0"/>
              <w:adjustRightInd/>
              <w:snapToGrid/>
              <w:spacing w:after="240" w:afterAutospacing="0" w:line="312"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财政票据使用单位</w:t>
            </w:r>
          </w:p>
        </w:tc>
        <w:tc>
          <w:tcPr>
            <w:tcW w:w="780" w:type="dxa"/>
            <w:vAlign w:val="center"/>
          </w:tcPr>
          <w:p>
            <w:pPr>
              <w:keepNext w:val="0"/>
              <w:keepLines w:val="0"/>
              <w:pageBreakBefore w:val="0"/>
              <w:widowControl/>
              <w:suppressLineNumbers w:val="0"/>
              <w:kinsoku/>
              <w:wordWrap/>
              <w:overflowPunct/>
              <w:topLinePunct w:val="0"/>
              <w:autoSpaceDE/>
              <w:autoSpaceDN/>
              <w:bidi w:val="0"/>
              <w:adjustRightInd/>
              <w:snapToGrid/>
              <w:spacing w:after="240" w:afterAutospacing="0" w:line="312"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保留</w:t>
            </w:r>
          </w:p>
        </w:tc>
      </w:tr>
    </w:tbl>
    <w:p>
      <w:pPr>
        <w:keepNext w:val="0"/>
        <w:keepLines w:val="0"/>
        <w:pageBreakBefore w:val="0"/>
        <w:numPr>
          <w:ilvl w:val="0"/>
          <w:numId w:val="0"/>
        </w:numPr>
        <w:kinsoku/>
        <w:wordWrap/>
        <w:overflowPunct/>
        <w:topLinePunct w:val="0"/>
        <w:bidi w:val="0"/>
        <w:adjustRightInd/>
        <w:snapToGrid/>
        <w:spacing w:line="288" w:lineRule="auto"/>
        <w:jc w:val="left"/>
        <w:rPr>
          <w:rFonts w:hint="eastAsia" w:ascii="仿宋" w:hAnsi="仿宋" w:eastAsia="仿宋" w:cs="仿宋"/>
          <w:sz w:val="24"/>
          <w:szCs w:val="24"/>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modern"/>
    <w:pitch w:val="default"/>
    <w:sig w:usb0="800002BF" w:usb1="38CF7CFA" w:usb2="00000016" w:usb3="00000000" w:csb0="00040001"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Latha"/>
    <w:panose1 w:val="020B0604020202020204"/>
    <w:charset w:val="00"/>
    <w:family w:val="swiss"/>
    <w:pitch w:val="default"/>
    <w:sig w:usb0="00000000" w:usb1="00000000" w:usb2="00000009" w:usb3="00000000" w:csb0="000001FF" w:csb1="00000000"/>
  </w:font>
  <w:font w:name="Latha">
    <w:panose1 w:val="020B0604020202020204"/>
    <w:charset w:val="00"/>
    <w:family w:val="auto"/>
    <w:pitch w:val="default"/>
    <w:sig w:usb0="00100003"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12DB68"/>
    <w:multiLevelType w:val="singleLevel"/>
    <w:tmpl w:val="CF12DB68"/>
    <w:lvl w:ilvl="0" w:tentative="0">
      <w:start w:val="2"/>
      <w:numFmt w:val="chineseCounting"/>
      <w:lvlText w:val="(%1)"/>
      <w:lvlJc w:val="left"/>
      <w:pPr>
        <w:tabs>
          <w:tab w:val="left" w:pos="312"/>
        </w:tabs>
      </w:pPr>
      <w:rPr>
        <w:rFonts w:hint="eastAsia"/>
      </w:rPr>
    </w:lvl>
  </w:abstractNum>
  <w:abstractNum w:abstractNumId="1">
    <w:nsid w:val="10A02174"/>
    <w:multiLevelType w:val="singleLevel"/>
    <w:tmpl w:val="10A02174"/>
    <w:lvl w:ilvl="0" w:tentative="0">
      <w:start w:val="1"/>
      <w:numFmt w:val="decimal"/>
      <w:lvlText w:val="%1."/>
      <w:lvlJc w:val="left"/>
      <w:pPr>
        <w:tabs>
          <w:tab w:val="left" w:pos="312"/>
        </w:tabs>
      </w:pPr>
    </w:lvl>
  </w:abstractNum>
  <w:abstractNum w:abstractNumId="2">
    <w:nsid w:val="794E2592"/>
    <w:multiLevelType w:val="singleLevel"/>
    <w:tmpl w:val="794E2592"/>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351311"/>
    <w:rsid w:val="005C0BF4"/>
    <w:rsid w:val="023660C6"/>
    <w:rsid w:val="0D713836"/>
    <w:rsid w:val="1A285FAD"/>
    <w:rsid w:val="1A336B0C"/>
    <w:rsid w:val="31397428"/>
    <w:rsid w:val="32A16BE5"/>
    <w:rsid w:val="331E587B"/>
    <w:rsid w:val="35DF7D32"/>
    <w:rsid w:val="36FC1D61"/>
    <w:rsid w:val="3B6B3A77"/>
    <w:rsid w:val="3E1F38FA"/>
    <w:rsid w:val="404364E3"/>
    <w:rsid w:val="4B7B0D7B"/>
    <w:rsid w:val="519F1494"/>
    <w:rsid w:val="52351311"/>
    <w:rsid w:val="595E4CDB"/>
    <w:rsid w:val="5B023C0F"/>
    <w:rsid w:val="68597B8A"/>
    <w:rsid w:val="6B160712"/>
    <w:rsid w:val="710A723A"/>
    <w:rsid w:val="7F1A5136"/>
    <w:rsid w:val="7F9F7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ind w:left="319"/>
      <w:outlineLvl w:val="1"/>
    </w:pPr>
    <w:rPr>
      <w:rFonts w:ascii="Microsoft JhengHei" w:hAnsi="Microsoft JhengHei" w:eastAsia="Microsoft JhengHei" w:cs="Microsoft JhengHei"/>
      <w:b/>
      <w:bCs/>
      <w:sz w:val="36"/>
      <w:szCs w:val="36"/>
      <w:lang w:val="zh-CN" w:eastAsia="zh-CN" w:bidi="zh-CN"/>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仿宋" w:hAnsi="仿宋" w:eastAsia="仿宋" w:cs="仿宋"/>
      <w:sz w:val="32"/>
      <w:szCs w:val="32"/>
      <w:lang w:val="zh-CN" w:eastAsia="zh-CN" w:bidi="zh-CN"/>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bCs/>
      <w:color w:val="DEDEDE"/>
      <w:sz w:val="18"/>
      <w:szCs w:val="18"/>
    </w:rPr>
  </w:style>
  <w:style w:type="character" w:styleId="8">
    <w:name w:val="FollowedHyperlink"/>
    <w:basedOn w:val="6"/>
    <w:qFormat/>
    <w:uiPriority w:val="0"/>
    <w:rPr>
      <w:color w:val="338DE6"/>
      <w:u w:val="none"/>
    </w:rPr>
  </w:style>
  <w:style w:type="character" w:styleId="9">
    <w:name w:val="Emphasis"/>
    <w:basedOn w:val="6"/>
    <w:qFormat/>
    <w:uiPriority w:val="0"/>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338DE6"/>
      <w:u w:val="none"/>
    </w:rPr>
  </w:style>
  <w:style w:type="character" w:styleId="13">
    <w:name w:val="HTML Code"/>
    <w:basedOn w:val="6"/>
    <w:qFormat/>
    <w:uiPriority w:val="0"/>
    <w:rPr>
      <w:rFonts w:hint="default" w:ascii="serif" w:hAnsi="serif" w:eastAsia="serif" w:cs="serif"/>
      <w:sz w:val="21"/>
      <w:szCs w:val="21"/>
    </w:rPr>
  </w:style>
  <w:style w:type="character" w:styleId="14">
    <w:name w:val="HTML Cite"/>
    <w:basedOn w:val="6"/>
    <w:qFormat/>
    <w:uiPriority w:val="0"/>
  </w:style>
  <w:style w:type="character" w:styleId="15">
    <w:name w:val="HTML Keyboard"/>
    <w:basedOn w:val="6"/>
    <w:qFormat/>
    <w:uiPriority w:val="0"/>
    <w:rPr>
      <w:rFonts w:ascii="serif" w:hAnsi="serif" w:eastAsia="serif" w:cs="serif"/>
      <w:sz w:val="21"/>
      <w:szCs w:val="21"/>
    </w:rPr>
  </w:style>
  <w:style w:type="character" w:styleId="16">
    <w:name w:val="HTML Sample"/>
    <w:basedOn w:val="6"/>
    <w:qFormat/>
    <w:uiPriority w:val="0"/>
    <w:rPr>
      <w:rFonts w:hint="default" w:ascii="serif" w:hAnsi="serif" w:eastAsia="serif" w:cs="serif"/>
      <w:sz w:val="21"/>
      <w:szCs w:val="21"/>
    </w:rPr>
  </w:style>
  <w:style w:type="character" w:customStyle="1" w:styleId="17">
    <w:name w:val="fontstrikethrough"/>
    <w:basedOn w:val="6"/>
    <w:qFormat/>
    <w:uiPriority w:val="0"/>
    <w:rPr>
      <w:strike/>
    </w:rPr>
  </w:style>
  <w:style w:type="character" w:customStyle="1" w:styleId="18">
    <w:name w:val="fontborder"/>
    <w:basedOn w:val="6"/>
    <w:qFormat/>
    <w:uiPriority w:val="0"/>
    <w:rPr>
      <w:bdr w:val="single" w:color="000000" w:sz="6" w:space="0"/>
    </w:rPr>
  </w:style>
  <w:style w:type="paragraph" w:customStyle="1" w:styleId="19">
    <w:name w:val="Table Paragraph"/>
    <w:basedOn w:val="1"/>
    <w:qFormat/>
    <w:uiPriority w:val="1"/>
    <w:rPr>
      <w:rFonts w:ascii="宋体" w:hAnsi="宋体" w:eastAsia="宋体" w:cs="宋体"/>
      <w:lang w:val="zh-CN" w:bidi="zh-CN"/>
    </w:rPr>
  </w:style>
  <w:style w:type="character" w:customStyle="1" w:styleId="20">
    <w:name w:val="font11"/>
    <w:basedOn w:val="6"/>
    <w:qFormat/>
    <w:uiPriority w:val="0"/>
    <w:rPr>
      <w:rFonts w:hint="eastAsia" w:ascii="宋体" w:hAnsi="宋体" w:eastAsia="宋体" w:cs="宋体"/>
      <w:color w:val="333333"/>
      <w:sz w:val="22"/>
      <w:szCs w:val="22"/>
      <w:u w:val="none"/>
    </w:rPr>
  </w:style>
  <w:style w:type="character" w:customStyle="1" w:styleId="21">
    <w:name w:val="font51"/>
    <w:basedOn w:val="6"/>
    <w:qFormat/>
    <w:uiPriority w:val="0"/>
    <w:rPr>
      <w:rFonts w:hint="eastAsia" w:ascii="宋体" w:hAnsi="宋体" w:eastAsia="宋体" w:cs="宋体"/>
      <w:color w:val="404740"/>
      <w:sz w:val="22"/>
      <w:szCs w:val="22"/>
      <w:u w:val="none"/>
    </w:rPr>
  </w:style>
  <w:style w:type="character" w:customStyle="1" w:styleId="22">
    <w:name w:val="font41"/>
    <w:basedOn w:val="6"/>
    <w:qFormat/>
    <w:uiPriority w:val="0"/>
    <w:rPr>
      <w:rFonts w:ascii="Helvetica" w:hAnsi="Helvetica" w:eastAsia="Helvetica" w:cs="Helvetica"/>
      <w:color w:val="404740"/>
      <w:sz w:val="22"/>
      <w:szCs w:val="22"/>
      <w:u w:val="none"/>
    </w:rPr>
  </w:style>
  <w:style w:type="character" w:customStyle="1" w:styleId="23">
    <w:name w:val="font31"/>
    <w:basedOn w:val="6"/>
    <w:qFormat/>
    <w:uiPriority w:val="0"/>
    <w:rPr>
      <w:rFonts w:hint="eastAsia" w:ascii="宋体" w:hAnsi="宋体" w:eastAsia="宋体" w:cs="宋体"/>
      <w:color w:val="333333"/>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2021-08-13T06:59:00Z</dcterms:created>
  <dc:creator>Administrator</dc:creator>
  <cp:lastModifiedBy>Administrator</cp:lastModifiedBy>
  <cp:lastPrinted>2021-09-08T08:49:41Z</cp:lastPrinted>
  <dcterms:modified xsi:type="dcterms:W3CDTF">2021-09-08T09:13:36Z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F0C0FAFBDE75456AB4CC0556A7E52DF6</vt:lpwstr>
  </property>
</Properties>
</file>